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附件2：</w:t>
      </w:r>
      <w:bookmarkStart w:id="0" w:name="_GoBack"/>
      <w:bookmarkEnd w:id="0"/>
      <w:r>
        <w:rPr>
          <w:rFonts w:hint="eastAsia"/>
          <w:sz w:val="28"/>
          <w:szCs w:val="36"/>
          <w:highlight w:val="none"/>
          <w:lang w:val="en-US" w:eastAsia="zh-CN"/>
        </w:rPr>
        <w:t>拟投入工程量清单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3"/>
        <w:tblW w:w="9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988"/>
        <w:gridCol w:w="3481"/>
        <w:gridCol w:w="1274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杨泗港都市T台连通及景观工程项目媒体宣传制作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宣传片需符合项目调性、定位，打造新港长江城片水、岸、滩、城、人和谐共生的有机载体；画面要求整体表现流畅、内容全面、制作精良，能够完整表现设计创意，影部、声部、字幕、特效等必须保证高品质。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分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3分钟内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393E"/>
    <w:rsid w:val="79B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2022-09-14T06:41:00Z</dcterms:created>
  <dc:creator>wangy</dc:creator>
  <cp:lastModifiedBy>wangy</cp:lastModifiedBy>
  <dcterms:modified xsi:type="dcterms:W3CDTF">2022-09-14T06:45:16Z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95385AED15B74089BA6AFA38A19C6358</vt:lpwstr>
  </property>
</Properties>
</file>