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line="360" w:lineRule="auto"/>
        <w:ind w:firstLine="188" w:firstLineChars="23"/>
        <w:jc w:val="center"/>
        <w:rPr>
          <w:rFonts w:ascii="方正小标宋简体" w:eastAsia="方正小标宋简体"/>
          <w:sz w:val="72"/>
          <w:szCs w:val="72"/>
          <w:highlight w:val="none"/>
        </w:rPr>
      </w:pPr>
      <w:bookmarkStart w:id="0" w:name="_Toc141175187"/>
      <w:bookmarkStart w:id="1" w:name="_Toc36189242"/>
    </w:p>
    <w:p>
      <w:pPr>
        <w:pStyle w:val="8"/>
        <w:snapToGrid w:val="0"/>
        <w:spacing w:line="360" w:lineRule="auto"/>
        <w:rPr>
          <w:rFonts w:ascii="方正小标宋简体" w:eastAsia="方正小标宋简体"/>
          <w:sz w:val="32"/>
          <w:szCs w:val="32"/>
          <w:highlight w:val="none"/>
        </w:rPr>
      </w:pPr>
    </w:p>
    <w:p>
      <w:pPr>
        <w:pStyle w:val="8"/>
        <w:snapToGrid w:val="0"/>
        <w:spacing w:line="360" w:lineRule="auto"/>
        <w:ind w:firstLine="110" w:firstLineChars="23"/>
        <w:jc w:val="center"/>
        <w:rPr>
          <w:rFonts w:hint="eastAsia" w:ascii="方正小标宋简体" w:hAnsi="方正小标宋简体" w:eastAsia="方正小标宋简体" w:cs="方正小标宋简体"/>
          <w:bCs w:val="0"/>
          <w:color w:val="auto"/>
          <w:spacing w:val="0"/>
          <w:kern w:val="0"/>
          <w:sz w:val="48"/>
          <w:szCs w:val="48"/>
          <w:highlight w:val="none"/>
        </w:rPr>
      </w:pPr>
      <w:r>
        <w:rPr>
          <w:rFonts w:hint="eastAsia" w:ascii="方正小标宋简体" w:hAnsi="方正小标宋简体" w:eastAsia="方正小标宋简体" w:cs="方正小标宋简体"/>
          <w:bCs w:val="0"/>
          <w:color w:val="auto"/>
          <w:spacing w:val="0"/>
          <w:kern w:val="0"/>
          <w:sz w:val="48"/>
          <w:szCs w:val="48"/>
          <w:highlight w:val="none"/>
        </w:rPr>
        <w:t>武汉生态环境设计研究院有限公司2022-2024年度常年法律顾问</w:t>
      </w:r>
    </w:p>
    <w:p>
      <w:pPr>
        <w:pStyle w:val="8"/>
        <w:snapToGrid w:val="0"/>
        <w:spacing w:line="360" w:lineRule="auto"/>
        <w:ind w:firstLine="110" w:firstLineChars="23"/>
        <w:jc w:val="center"/>
        <w:rPr>
          <w:rFonts w:hint="eastAsia" w:ascii="方正小标宋简体" w:hAnsi="方正小标宋简体" w:eastAsia="方正小标宋简体" w:cs="方正小标宋简体"/>
          <w:bCs w:val="0"/>
          <w:color w:val="auto"/>
          <w:spacing w:val="0"/>
          <w:kern w:val="0"/>
          <w:sz w:val="48"/>
          <w:szCs w:val="48"/>
          <w:highlight w:val="none"/>
          <w:lang w:eastAsia="zh-CN"/>
        </w:rPr>
      </w:pPr>
      <w:r>
        <w:rPr>
          <w:rFonts w:hint="eastAsia" w:ascii="方正小标宋简体" w:hAnsi="方正小标宋简体" w:eastAsia="方正小标宋简体" w:cs="方正小标宋简体"/>
          <w:bCs w:val="0"/>
          <w:color w:val="auto"/>
          <w:spacing w:val="0"/>
          <w:kern w:val="0"/>
          <w:sz w:val="48"/>
          <w:szCs w:val="48"/>
          <w:highlight w:val="none"/>
        </w:rPr>
        <w:t>公开招标</w:t>
      </w:r>
      <w:r>
        <w:rPr>
          <w:rFonts w:hint="eastAsia" w:ascii="方正小标宋简体" w:hAnsi="方正小标宋简体" w:eastAsia="方正小标宋简体" w:cs="方正小标宋简体"/>
          <w:bCs w:val="0"/>
          <w:color w:val="auto"/>
          <w:spacing w:val="0"/>
          <w:kern w:val="0"/>
          <w:sz w:val="48"/>
          <w:szCs w:val="48"/>
          <w:highlight w:val="none"/>
          <w:lang w:eastAsia="zh-CN"/>
        </w:rPr>
        <w:t>（第二次）</w:t>
      </w:r>
    </w:p>
    <w:p>
      <w:pPr>
        <w:jc w:val="center"/>
        <w:rPr>
          <w:rFonts w:ascii="隶书" w:eastAsia="隶书"/>
          <w:b/>
          <w:sz w:val="90"/>
          <w:szCs w:val="90"/>
          <w:highlight w:val="none"/>
        </w:rPr>
      </w:pPr>
      <w:r>
        <w:rPr>
          <w:rFonts w:hint="eastAsia" w:ascii="隶书" w:eastAsia="隶书"/>
          <w:b/>
          <w:sz w:val="90"/>
          <w:szCs w:val="90"/>
          <w:highlight w:val="none"/>
        </w:rPr>
        <w:t>招标文件</w:t>
      </w:r>
    </w:p>
    <w:p>
      <w:pPr>
        <w:pStyle w:val="8"/>
        <w:snapToGrid w:val="0"/>
        <w:spacing w:before="190" w:beforeLines="50" w:line="360" w:lineRule="auto"/>
        <w:ind w:left="846" w:leftChars="403" w:firstLine="205" w:firstLineChars="49"/>
        <w:rPr>
          <w:b/>
          <w:color w:val="auto"/>
          <w:sz w:val="32"/>
          <w:szCs w:val="32"/>
          <w:highlight w:val="none"/>
        </w:rPr>
      </w:pPr>
    </w:p>
    <w:p>
      <w:pPr>
        <w:pStyle w:val="8"/>
        <w:snapToGrid w:val="0"/>
        <w:spacing w:before="190" w:beforeLines="50" w:line="360" w:lineRule="auto"/>
        <w:ind w:left="846" w:leftChars="403" w:firstLine="205" w:firstLineChars="49"/>
        <w:rPr>
          <w:b/>
          <w:color w:val="auto"/>
          <w:sz w:val="32"/>
          <w:szCs w:val="32"/>
          <w:highlight w:val="none"/>
        </w:rPr>
      </w:pPr>
    </w:p>
    <w:p>
      <w:pPr>
        <w:pStyle w:val="8"/>
        <w:snapToGrid w:val="0"/>
        <w:spacing w:before="190" w:beforeLines="50" w:line="360" w:lineRule="auto"/>
        <w:ind w:left="846" w:leftChars="403" w:firstLine="205" w:firstLineChars="49"/>
        <w:rPr>
          <w:b/>
          <w:color w:val="auto"/>
          <w:sz w:val="32"/>
          <w:szCs w:val="32"/>
          <w:highlight w:val="none"/>
        </w:rPr>
      </w:pPr>
    </w:p>
    <w:p>
      <w:pPr>
        <w:pStyle w:val="8"/>
        <w:snapToGrid w:val="0"/>
        <w:spacing w:before="190" w:beforeLines="50" w:line="360" w:lineRule="auto"/>
        <w:rPr>
          <w:b/>
          <w:color w:val="auto"/>
          <w:sz w:val="32"/>
          <w:szCs w:val="32"/>
          <w:highlight w:val="none"/>
        </w:rPr>
      </w:pPr>
    </w:p>
    <w:p>
      <w:pPr>
        <w:pStyle w:val="3"/>
        <w:keepNext w:val="0"/>
        <w:keepLines w:val="0"/>
        <w:widowControl/>
        <w:spacing w:before="0" w:after="0" w:line="12" w:lineRule="atLeast"/>
        <w:ind w:firstLine="640" w:firstLineChars="200"/>
        <w:rPr>
          <w:rFonts w:hint="eastAsia" w:ascii="宋体" w:hAnsi="宋体" w:eastAsia="仿宋"/>
          <w:bCs w:val="0"/>
          <w:kern w:val="0"/>
          <w:szCs w:val="32"/>
          <w:highlight w:val="none"/>
          <w:u w:val="single"/>
          <w:lang w:eastAsia="zh-CN"/>
        </w:rPr>
      </w:pPr>
      <w:bookmarkStart w:id="2" w:name="_Toc25518"/>
      <w:bookmarkStart w:id="3" w:name="_Toc19965"/>
      <w:r>
        <w:rPr>
          <w:rFonts w:hint="eastAsia" w:ascii="宋体" w:hAnsi="宋体" w:eastAsia="仿宋"/>
          <w:bCs w:val="0"/>
          <w:kern w:val="0"/>
          <w:szCs w:val="32"/>
          <w:highlight w:val="none"/>
        </w:rPr>
        <w:t>项目名称：</w:t>
      </w:r>
      <w:r>
        <w:rPr>
          <w:rFonts w:hint="eastAsia" w:ascii="宋体" w:hAnsi="宋体" w:eastAsia="仿宋"/>
          <w:bCs w:val="0"/>
          <w:kern w:val="0"/>
          <w:szCs w:val="32"/>
          <w:highlight w:val="none"/>
          <w:u w:val="single"/>
        </w:rPr>
        <w:t>武汉生态环境设计研究院有限公司2022-2024年度常年法律顾问公开招标</w:t>
      </w:r>
      <w:bookmarkEnd w:id="2"/>
      <w:bookmarkEnd w:id="3"/>
      <w:r>
        <w:rPr>
          <w:rFonts w:hint="eastAsia" w:ascii="宋体" w:hAnsi="宋体" w:eastAsia="仿宋"/>
          <w:bCs w:val="0"/>
          <w:kern w:val="0"/>
          <w:szCs w:val="32"/>
          <w:highlight w:val="none"/>
          <w:u w:val="single"/>
          <w:lang w:eastAsia="zh-CN"/>
        </w:rPr>
        <w:t>（第二次）</w:t>
      </w:r>
    </w:p>
    <w:p>
      <w:pPr>
        <w:pStyle w:val="3"/>
        <w:keepNext w:val="0"/>
        <w:keepLines w:val="0"/>
        <w:widowControl/>
        <w:spacing w:before="0" w:after="0" w:line="12" w:lineRule="atLeast"/>
        <w:ind w:firstLine="640" w:firstLineChars="200"/>
        <w:rPr>
          <w:rFonts w:hint="eastAsia" w:ascii="宋体" w:hAnsi="宋体" w:eastAsia="仿宋"/>
          <w:bCs w:val="0"/>
          <w:kern w:val="0"/>
          <w:szCs w:val="32"/>
          <w:highlight w:val="none"/>
          <w:lang w:eastAsia="zh-CN"/>
        </w:rPr>
      </w:pPr>
      <w:bookmarkStart w:id="4" w:name="_Toc20934"/>
      <w:bookmarkStart w:id="5" w:name="_Toc6115"/>
      <w:r>
        <w:rPr>
          <w:rFonts w:hint="eastAsia" w:ascii="宋体" w:hAnsi="宋体" w:eastAsia="仿宋"/>
          <w:bCs w:val="0"/>
          <w:kern w:val="0"/>
          <w:szCs w:val="32"/>
          <w:highlight w:val="none"/>
        </w:rPr>
        <w:t>项目编号：STYZB2022-08-0</w:t>
      </w:r>
      <w:bookmarkEnd w:id="4"/>
      <w:bookmarkEnd w:id="5"/>
      <w:r>
        <w:rPr>
          <w:rFonts w:hint="eastAsia" w:ascii="宋体" w:hAnsi="宋体" w:eastAsia="仿宋"/>
          <w:bCs w:val="0"/>
          <w:kern w:val="0"/>
          <w:szCs w:val="32"/>
          <w:highlight w:val="none"/>
          <w:lang w:val="en-US" w:eastAsia="zh-CN"/>
        </w:rPr>
        <w:t>2</w:t>
      </w:r>
    </w:p>
    <w:p>
      <w:pPr>
        <w:pStyle w:val="3"/>
        <w:keepNext w:val="0"/>
        <w:keepLines w:val="0"/>
        <w:widowControl/>
        <w:spacing w:before="0" w:after="0" w:line="12" w:lineRule="atLeast"/>
        <w:ind w:firstLine="640" w:firstLineChars="200"/>
        <w:rPr>
          <w:rFonts w:ascii="宋体" w:hAnsi="宋体" w:eastAsia="仿宋"/>
          <w:bCs w:val="0"/>
          <w:kern w:val="0"/>
          <w:szCs w:val="32"/>
          <w:highlight w:val="none"/>
        </w:rPr>
      </w:pPr>
      <w:bookmarkStart w:id="6" w:name="_Toc5331"/>
      <w:bookmarkStart w:id="7" w:name="_Toc20698"/>
      <w:r>
        <w:rPr>
          <w:rFonts w:hint="eastAsia" w:ascii="宋体" w:hAnsi="宋体" w:eastAsia="仿宋"/>
          <w:bCs w:val="0"/>
          <w:kern w:val="0"/>
          <w:szCs w:val="32"/>
          <w:highlight w:val="none"/>
        </w:rPr>
        <w:t>招标人：武汉生态环境设计研究院有限公司</w:t>
      </w:r>
      <w:bookmarkEnd w:id="6"/>
      <w:bookmarkEnd w:id="7"/>
    </w:p>
    <w:p>
      <w:pPr>
        <w:pStyle w:val="3"/>
        <w:keepNext w:val="0"/>
        <w:keepLines w:val="0"/>
        <w:widowControl/>
        <w:spacing w:before="0" w:after="0" w:line="12" w:lineRule="atLeast"/>
        <w:ind w:firstLine="640" w:firstLineChars="200"/>
        <w:rPr>
          <w:rFonts w:ascii="宋体" w:hAnsi="宋体" w:eastAsia="仿宋"/>
          <w:bCs w:val="0"/>
          <w:kern w:val="0"/>
          <w:szCs w:val="32"/>
          <w:highlight w:val="none"/>
          <w:u w:val="single"/>
        </w:rPr>
        <w:sectPr>
          <w:headerReference r:id="rId5" w:type="first"/>
          <w:footerReference r:id="rId8" w:type="first"/>
          <w:headerReference r:id="rId3" w:type="default"/>
          <w:footerReference r:id="rId6" w:type="default"/>
          <w:headerReference r:id="rId4" w:type="even"/>
          <w:footerReference r:id="rId7" w:type="even"/>
          <w:pgSz w:w="11907" w:h="16840"/>
          <w:pgMar w:top="1134" w:right="1418" w:bottom="1418" w:left="1418" w:header="567" w:footer="992" w:gutter="0"/>
          <w:cols w:space="720" w:num="1"/>
          <w:docGrid w:type="linesAndChars" w:linePitch="380" w:charSpace="0"/>
        </w:sectPr>
      </w:pPr>
      <w:bookmarkStart w:id="8" w:name="_Toc11127"/>
      <w:bookmarkStart w:id="9" w:name="_Toc27724"/>
      <w:r>
        <w:rPr>
          <w:rFonts w:hint="eastAsia" w:ascii="宋体" w:hAnsi="宋体" w:eastAsia="仿宋"/>
          <w:bCs w:val="0"/>
          <w:kern w:val="0"/>
          <w:szCs w:val="32"/>
          <w:highlight w:val="none"/>
        </w:rPr>
        <w:t>日期:</w:t>
      </w:r>
      <w:r>
        <w:rPr>
          <w:rFonts w:hint="eastAsia" w:ascii="宋体" w:hAnsi="宋体" w:eastAsia="仿宋"/>
          <w:bCs w:val="0"/>
          <w:kern w:val="0"/>
          <w:szCs w:val="32"/>
          <w:highlight w:val="none"/>
          <w:u w:val="single"/>
        </w:rPr>
        <w:t>2022年8月</w:t>
      </w:r>
      <w:bookmarkEnd w:id="8"/>
      <w:bookmarkEnd w:id="9"/>
    </w:p>
    <w:bookmarkEnd w:id="0"/>
    <w:bookmarkEnd w:id="1"/>
    <w:p>
      <w:pPr>
        <w:rPr>
          <w:rFonts w:ascii="仿宋_GB2312" w:hAnsi="仿宋_GB2312" w:eastAsia="仿宋" w:cs="仿宋_GB2312"/>
          <w:highlight w:val="none"/>
        </w:rPr>
      </w:pPr>
    </w:p>
    <w:p>
      <w:pPr>
        <w:pStyle w:val="3"/>
        <w:spacing w:before="120" w:after="120"/>
        <w:jc w:val="center"/>
        <w:rPr>
          <w:rFonts w:ascii="仿宋_GB2312" w:hAnsi="仿宋_GB2312" w:eastAsia="仿宋" w:cs="仿宋_GB2312"/>
          <w:bCs w:val="0"/>
          <w:sz w:val="30"/>
          <w:szCs w:val="30"/>
          <w:highlight w:val="none"/>
        </w:rPr>
      </w:pPr>
      <w:bookmarkStart w:id="10" w:name="_Toc528896327"/>
      <w:bookmarkStart w:id="11" w:name="_Toc25754"/>
      <w:bookmarkStart w:id="12" w:name="_Toc14398"/>
      <w:bookmarkStart w:id="13" w:name="_Toc8305"/>
      <w:bookmarkStart w:id="14" w:name="_Toc11870"/>
      <w:r>
        <w:rPr>
          <w:rFonts w:hint="eastAsia" w:ascii="仿宋_GB2312" w:hAnsi="仿宋_GB2312" w:eastAsia="仿宋" w:cs="仿宋_GB2312"/>
          <w:bCs w:val="0"/>
          <w:sz w:val="30"/>
          <w:szCs w:val="30"/>
          <w:highlight w:val="none"/>
        </w:rPr>
        <w:t>目  录</w:t>
      </w:r>
      <w:bookmarkEnd w:id="10"/>
      <w:bookmarkEnd w:id="11"/>
      <w:bookmarkEnd w:id="12"/>
      <w:bookmarkEnd w:id="13"/>
      <w:bookmarkEnd w:id="14"/>
    </w:p>
    <w:p>
      <w:pPr>
        <w:pStyle w:val="11"/>
        <w:tabs>
          <w:tab w:val="right" w:leader="dot" w:pos="8900"/>
        </w:tabs>
        <w:rPr>
          <w:rFonts w:ascii="宋体" w:hAnsi="宋体" w:cs="宋体"/>
          <w:b w:val="0"/>
          <w:bCs w:val="0"/>
          <w:highlight w:val="none"/>
        </w:rPr>
      </w:pP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TOC \o "1-3" \h \u </w:instrText>
      </w:r>
      <w:r>
        <w:rPr>
          <w:rFonts w:hint="eastAsia" w:ascii="宋体" w:hAnsi="宋体" w:cs="宋体"/>
          <w:b w:val="0"/>
          <w:bCs w:val="0"/>
          <w:highlight w:val="none"/>
        </w:rPr>
        <w:fldChar w:fldCharType="separate"/>
      </w:r>
    </w:p>
    <w:p>
      <w:pPr>
        <w:pStyle w:val="11"/>
        <w:tabs>
          <w:tab w:val="right" w:leader="dot" w:pos="8900"/>
        </w:tabs>
        <w:rPr>
          <w:rFonts w:ascii="宋体" w:hAnsi="宋体" w:cs="宋体"/>
          <w:b w:val="0"/>
          <w:bCs w:val="0"/>
          <w:highlight w:val="none"/>
        </w:rPr>
      </w:pPr>
      <w:r>
        <w:rPr>
          <w:highlight w:val="none"/>
        </w:rPr>
        <w:fldChar w:fldCharType="begin"/>
      </w:r>
      <w:r>
        <w:rPr>
          <w:highlight w:val="none"/>
        </w:rPr>
        <w:instrText xml:space="preserve"> HYPERLINK \l "_Toc9219" </w:instrText>
      </w:r>
      <w:r>
        <w:rPr>
          <w:highlight w:val="none"/>
        </w:rPr>
        <w:fldChar w:fldCharType="separate"/>
      </w:r>
      <w:r>
        <w:rPr>
          <w:rFonts w:hint="eastAsia" w:ascii="宋体" w:hAnsi="宋体" w:cs="宋体"/>
          <w:b w:val="0"/>
          <w:bCs w:val="0"/>
          <w:szCs w:val="48"/>
          <w:highlight w:val="none"/>
        </w:rPr>
        <w:t>第一章、招标公告</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_Toc9219 \h </w:instrText>
      </w:r>
      <w:r>
        <w:rPr>
          <w:rFonts w:hint="eastAsia" w:ascii="宋体" w:hAnsi="宋体" w:cs="宋体"/>
          <w:b w:val="0"/>
          <w:bCs w:val="0"/>
          <w:highlight w:val="none"/>
        </w:rPr>
        <w:fldChar w:fldCharType="separate"/>
      </w:r>
      <w:r>
        <w:rPr>
          <w:rFonts w:hint="eastAsia" w:ascii="宋体" w:hAnsi="宋体" w:cs="宋体"/>
          <w:b w:val="0"/>
          <w:bCs w:val="0"/>
          <w:highlight w:val="none"/>
        </w:rPr>
        <w:t>2</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pPr>
        <w:pStyle w:val="11"/>
        <w:tabs>
          <w:tab w:val="right" w:leader="dot" w:pos="8900"/>
        </w:tabs>
        <w:rPr>
          <w:rFonts w:ascii="宋体" w:hAnsi="宋体" w:cs="宋体"/>
          <w:b w:val="0"/>
          <w:bCs w:val="0"/>
          <w:highlight w:val="none"/>
        </w:rPr>
      </w:pPr>
      <w:r>
        <w:rPr>
          <w:highlight w:val="none"/>
        </w:rPr>
        <w:fldChar w:fldCharType="begin"/>
      </w:r>
      <w:r>
        <w:rPr>
          <w:highlight w:val="none"/>
        </w:rPr>
        <w:instrText xml:space="preserve"> HYPERLINK \l "_Toc2623" </w:instrText>
      </w:r>
      <w:r>
        <w:rPr>
          <w:highlight w:val="none"/>
        </w:rPr>
        <w:fldChar w:fldCharType="separate"/>
      </w:r>
      <w:r>
        <w:rPr>
          <w:rFonts w:hint="eastAsia" w:ascii="宋体" w:hAnsi="宋体" w:cs="宋体"/>
          <w:b w:val="0"/>
          <w:bCs w:val="0"/>
          <w:snapToGrid w:val="0"/>
          <w:spacing w:val="-8"/>
          <w:kern w:val="0"/>
          <w:szCs w:val="30"/>
          <w:highlight w:val="none"/>
        </w:rPr>
        <w:t>一、 项目名称</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_Toc2623 \h </w:instrText>
      </w:r>
      <w:r>
        <w:rPr>
          <w:rFonts w:hint="eastAsia" w:ascii="宋体" w:hAnsi="宋体" w:cs="宋体"/>
          <w:b w:val="0"/>
          <w:bCs w:val="0"/>
          <w:highlight w:val="none"/>
        </w:rPr>
        <w:fldChar w:fldCharType="separate"/>
      </w:r>
      <w:r>
        <w:rPr>
          <w:rFonts w:hint="eastAsia" w:ascii="宋体" w:hAnsi="宋体" w:cs="宋体"/>
          <w:b w:val="0"/>
          <w:bCs w:val="0"/>
          <w:highlight w:val="none"/>
        </w:rPr>
        <w:t>2</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pPr>
        <w:pStyle w:val="11"/>
        <w:tabs>
          <w:tab w:val="right" w:leader="dot" w:pos="8900"/>
        </w:tabs>
        <w:rPr>
          <w:rFonts w:ascii="宋体" w:hAnsi="宋体" w:cs="宋体"/>
          <w:b w:val="0"/>
          <w:bCs w:val="0"/>
          <w:highlight w:val="none"/>
        </w:rPr>
      </w:pPr>
      <w:r>
        <w:rPr>
          <w:highlight w:val="none"/>
        </w:rPr>
        <w:fldChar w:fldCharType="begin"/>
      </w:r>
      <w:r>
        <w:rPr>
          <w:highlight w:val="none"/>
        </w:rPr>
        <w:instrText xml:space="preserve"> HYPERLINK \l "_Toc20964" </w:instrText>
      </w:r>
      <w:r>
        <w:rPr>
          <w:highlight w:val="none"/>
        </w:rPr>
        <w:fldChar w:fldCharType="separate"/>
      </w:r>
      <w:r>
        <w:rPr>
          <w:rFonts w:hint="eastAsia" w:ascii="宋体" w:hAnsi="宋体" w:cs="宋体"/>
          <w:b w:val="0"/>
          <w:bCs w:val="0"/>
          <w:kern w:val="0"/>
          <w:szCs w:val="30"/>
          <w:highlight w:val="none"/>
        </w:rPr>
        <w:t>二、 项目概况</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_Toc20964 \h </w:instrText>
      </w:r>
      <w:r>
        <w:rPr>
          <w:rFonts w:hint="eastAsia" w:ascii="宋体" w:hAnsi="宋体" w:cs="宋体"/>
          <w:b w:val="0"/>
          <w:bCs w:val="0"/>
          <w:highlight w:val="none"/>
        </w:rPr>
        <w:fldChar w:fldCharType="separate"/>
      </w:r>
      <w:r>
        <w:rPr>
          <w:rFonts w:hint="eastAsia" w:ascii="宋体" w:hAnsi="宋体" w:cs="宋体"/>
          <w:b w:val="0"/>
          <w:bCs w:val="0"/>
          <w:highlight w:val="none"/>
        </w:rPr>
        <w:t>2</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pPr>
        <w:pStyle w:val="11"/>
        <w:tabs>
          <w:tab w:val="right" w:leader="dot" w:pos="8900"/>
        </w:tabs>
        <w:rPr>
          <w:rFonts w:ascii="宋体" w:hAnsi="宋体" w:cs="宋体"/>
          <w:b w:val="0"/>
          <w:bCs w:val="0"/>
          <w:highlight w:val="none"/>
        </w:rPr>
      </w:pPr>
      <w:r>
        <w:rPr>
          <w:highlight w:val="none"/>
        </w:rPr>
        <w:fldChar w:fldCharType="begin"/>
      </w:r>
      <w:r>
        <w:rPr>
          <w:highlight w:val="none"/>
        </w:rPr>
        <w:instrText xml:space="preserve"> HYPERLINK \l "_Toc2541" </w:instrText>
      </w:r>
      <w:r>
        <w:rPr>
          <w:highlight w:val="none"/>
        </w:rPr>
        <w:fldChar w:fldCharType="separate"/>
      </w:r>
      <w:r>
        <w:rPr>
          <w:rFonts w:hint="eastAsia" w:ascii="宋体" w:hAnsi="宋体" w:cs="宋体"/>
          <w:b w:val="0"/>
          <w:bCs w:val="0"/>
          <w:highlight w:val="none"/>
        </w:rPr>
        <w:t>三、 资格条件</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_Toc2541 \h </w:instrText>
      </w:r>
      <w:r>
        <w:rPr>
          <w:rFonts w:hint="eastAsia" w:ascii="宋体" w:hAnsi="宋体" w:cs="宋体"/>
          <w:b w:val="0"/>
          <w:bCs w:val="0"/>
          <w:highlight w:val="none"/>
        </w:rPr>
        <w:fldChar w:fldCharType="separate"/>
      </w:r>
      <w:r>
        <w:rPr>
          <w:rFonts w:hint="eastAsia" w:ascii="宋体" w:hAnsi="宋体" w:cs="宋体"/>
          <w:b w:val="0"/>
          <w:bCs w:val="0"/>
          <w:highlight w:val="none"/>
        </w:rPr>
        <w:t>4</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pPr>
        <w:pStyle w:val="11"/>
        <w:tabs>
          <w:tab w:val="right" w:leader="dot" w:pos="8900"/>
        </w:tabs>
        <w:rPr>
          <w:rFonts w:ascii="宋体" w:hAnsi="宋体" w:cs="宋体"/>
          <w:b w:val="0"/>
          <w:bCs w:val="0"/>
          <w:highlight w:val="none"/>
        </w:rPr>
      </w:pPr>
      <w:r>
        <w:rPr>
          <w:highlight w:val="none"/>
        </w:rPr>
        <w:fldChar w:fldCharType="begin"/>
      </w:r>
      <w:r>
        <w:rPr>
          <w:highlight w:val="none"/>
        </w:rPr>
        <w:instrText xml:space="preserve"> HYPERLINK \l "_Toc19109" </w:instrText>
      </w:r>
      <w:r>
        <w:rPr>
          <w:highlight w:val="none"/>
        </w:rPr>
        <w:fldChar w:fldCharType="separate"/>
      </w:r>
      <w:r>
        <w:rPr>
          <w:rFonts w:hint="eastAsia" w:ascii="宋体" w:hAnsi="宋体" w:cs="宋体"/>
          <w:b w:val="0"/>
          <w:bCs w:val="0"/>
          <w:highlight w:val="none"/>
        </w:rPr>
        <w:t>四、 投标程序</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_Toc19109 \h </w:instrText>
      </w:r>
      <w:r>
        <w:rPr>
          <w:rFonts w:hint="eastAsia" w:ascii="宋体" w:hAnsi="宋体" w:cs="宋体"/>
          <w:b w:val="0"/>
          <w:bCs w:val="0"/>
          <w:highlight w:val="none"/>
        </w:rPr>
        <w:fldChar w:fldCharType="separate"/>
      </w:r>
      <w:r>
        <w:rPr>
          <w:rFonts w:hint="eastAsia" w:ascii="宋体" w:hAnsi="宋体" w:cs="宋体"/>
          <w:b w:val="0"/>
          <w:bCs w:val="0"/>
          <w:highlight w:val="none"/>
        </w:rPr>
        <w:t>5</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pPr>
        <w:pStyle w:val="11"/>
        <w:tabs>
          <w:tab w:val="right" w:leader="dot" w:pos="8900"/>
        </w:tabs>
        <w:rPr>
          <w:rFonts w:ascii="宋体" w:hAnsi="宋体" w:cs="宋体"/>
          <w:b w:val="0"/>
          <w:bCs w:val="0"/>
          <w:highlight w:val="none"/>
        </w:rPr>
      </w:pPr>
      <w:r>
        <w:rPr>
          <w:highlight w:val="none"/>
        </w:rPr>
        <w:fldChar w:fldCharType="begin"/>
      </w:r>
      <w:r>
        <w:rPr>
          <w:highlight w:val="none"/>
        </w:rPr>
        <w:instrText xml:space="preserve"> HYPERLINK \l "_Toc19702" </w:instrText>
      </w:r>
      <w:r>
        <w:rPr>
          <w:highlight w:val="none"/>
        </w:rPr>
        <w:fldChar w:fldCharType="separate"/>
      </w:r>
      <w:r>
        <w:rPr>
          <w:rFonts w:hint="eastAsia" w:ascii="宋体" w:hAnsi="宋体" w:cs="宋体"/>
          <w:b w:val="0"/>
          <w:bCs w:val="0"/>
          <w:szCs w:val="32"/>
          <w:highlight w:val="none"/>
        </w:rPr>
        <w:t>第二章、投标人须知</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_Toc19702 \h </w:instrText>
      </w:r>
      <w:r>
        <w:rPr>
          <w:rFonts w:hint="eastAsia" w:ascii="宋体" w:hAnsi="宋体" w:cs="宋体"/>
          <w:b w:val="0"/>
          <w:bCs w:val="0"/>
          <w:highlight w:val="none"/>
        </w:rPr>
        <w:fldChar w:fldCharType="separate"/>
      </w:r>
      <w:r>
        <w:rPr>
          <w:rFonts w:hint="eastAsia" w:ascii="宋体" w:hAnsi="宋体" w:cs="宋体"/>
          <w:b w:val="0"/>
          <w:bCs w:val="0"/>
          <w:highlight w:val="none"/>
        </w:rPr>
        <w:t>6</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pPr>
        <w:pStyle w:val="11"/>
        <w:tabs>
          <w:tab w:val="right" w:leader="dot" w:pos="8900"/>
        </w:tabs>
        <w:rPr>
          <w:rFonts w:ascii="宋体" w:hAnsi="宋体" w:cs="宋体"/>
          <w:b w:val="0"/>
          <w:bCs w:val="0"/>
          <w:highlight w:val="none"/>
        </w:rPr>
      </w:pPr>
      <w:r>
        <w:rPr>
          <w:highlight w:val="none"/>
        </w:rPr>
        <w:fldChar w:fldCharType="begin"/>
      </w:r>
      <w:r>
        <w:rPr>
          <w:highlight w:val="none"/>
        </w:rPr>
        <w:instrText xml:space="preserve"> HYPERLINK \l "_Toc17995" </w:instrText>
      </w:r>
      <w:r>
        <w:rPr>
          <w:highlight w:val="none"/>
        </w:rPr>
        <w:fldChar w:fldCharType="separate"/>
      </w:r>
      <w:r>
        <w:rPr>
          <w:rFonts w:hint="eastAsia" w:ascii="宋体" w:hAnsi="宋体" w:cs="宋体"/>
          <w:b w:val="0"/>
          <w:bCs w:val="0"/>
          <w:highlight w:val="none"/>
        </w:rPr>
        <w:t>一、 总则</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_Toc17995 \h </w:instrText>
      </w:r>
      <w:r>
        <w:rPr>
          <w:rFonts w:hint="eastAsia" w:ascii="宋体" w:hAnsi="宋体" w:cs="宋体"/>
          <w:b w:val="0"/>
          <w:bCs w:val="0"/>
          <w:highlight w:val="none"/>
        </w:rPr>
        <w:fldChar w:fldCharType="separate"/>
      </w:r>
      <w:r>
        <w:rPr>
          <w:rFonts w:hint="eastAsia" w:ascii="宋体" w:hAnsi="宋体" w:cs="宋体"/>
          <w:b w:val="0"/>
          <w:bCs w:val="0"/>
          <w:highlight w:val="none"/>
        </w:rPr>
        <w:t>7</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pPr>
        <w:pStyle w:val="11"/>
        <w:tabs>
          <w:tab w:val="right" w:leader="dot" w:pos="8900"/>
        </w:tabs>
        <w:rPr>
          <w:rFonts w:ascii="宋体" w:hAnsi="宋体" w:cs="宋体"/>
          <w:b w:val="0"/>
          <w:bCs w:val="0"/>
          <w:highlight w:val="none"/>
        </w:rPr>
      </w:pPr>
      <w:r>
        <w:rPr>
          <w:highlight w:val="none"/>
        </w:rPr>
        <w:fldChar w:fldCharType="begin"/>
      </w:r>
      <w:r>
        <w:rPr>
          <w:highlight w:val="none"/>
        </w:rPr>
        <w:instrText xml:space="preserve"> HYPERLINK \l "_Toc7830" </w:instrText>
      </w:r>
      <w:r>
        <w:rPr>
          <w:highlight w:val="none"/>
        </w:rPr>
        <w:fldChar w:fldCharType="separate"/>
      </w:r>
      <w:r>
        <w:rPr>
          <w:rFonts w:hint="eastAsia" w:ascii="宋体" w:hAnsi="宋体" w:cs="宋体"/>
          <w:b w:val="0"/>
          <w:bCs w:val="0"/>
          <w:szCs w:val="30"/>
          <w:highlight w:val="none"/>
        </w:rPr>
        <w:t>二、 投标程序</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_Toc7830 \h </w:instrText>
      </w:r>
      <w:r>
        <w:rPr>
          <w:rFonts w:hint="eastAsia" w:ascii="宋体" w:hAnsi="宋体" w:cs="宋体"/>
          <w:b w:val="0"/>
          <w:bCs w:val="0"/>
          <w:highlight w:val="none"/>
        </w:rPr>
        <w:fldChar w:fldCharType="separate"/>
      </w:r>
      <w:r>
        <w:rPr>
          <w:rFonts w:hint="eastAsia" w:ascii="宋体" w:hAnsi="宋体" w:cs="宋体"/>
          <w:b w:val="0"/>
          <w:bCs w:val="0"/>
          <w:highlight w:val="none"/>
        </w:rPr>
        <w:t>8</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pPr>
        <w:pStyle w:val="11"/>
        <w:tabs>
          <w:tab w:val="right" w:leader="dot" w:pos="8900"/>
        </w:tabs>
        <w:rPr>
          <w:rFonts w:ascii="宋体" w:hAnsi="宋体" w:cs="宋体"/>
          <w:b w:val="0"/>
          <w:bCs w:val="0"/>
          <w:highlight w:val="none"/>
        </w:rPr>
      </w:pPr>
      <w:r>
        <w:rPr>
          <w:highlight w:val="none"/>
        </w:rPr>
        <w:fldChar w:fldCharType="begin"/>
      </w:r>
      <w:r>
        <w:rPr>
          <w:highlight w:val="none"/>
        </w:rPr>
        <w:instrText xml:space="preserve"> HYPERLINK \l "_Toc32246" </w:instrText>
      </w:r>
      <w:r>
        <w:rPr>
          <w:highlight w:val="none"/>
        </w:rPr>
        <w:fldChar w:fldCharType="separate"/>
      </w:r>
      <w:r>
        <w:rPr>
          <w:rFonts w:hint="eastAsia" w:ascii="宋体" w:hAnsi="宋体" w:cs="宋体"/>
          <w:b w:val="0"/>
          <w:bCs w:val="0"/>
          <w:highlight w:val="none"/>
        </w:rPr>
        <w:t>三、 投标文件的编制要求</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_Toc32246 \h </w:instrText>
      </w:r>
      <w:r>
        <w:rPr>
          <w:rFonts w:hint="eastAsia" w:ascii="宋体" w:hAnsi="宋体" w:cs="宋体"/>
          <w:b w:val="0"/>
          <w:bCs w:val="0"/>
          <w:highlight w:val="none"/>
        </w:rPr>
        <w:fldChar w:fldCharType="separate"/>
      </w:r>
      <w:r>
        <w:rPr>
          <w:rFonts w:hint="eastAsia" w:ascii="宋体" w:hAnsi="宋体" w:cs="宋体"/>
          <w:b w:val="0"/>
          <w:bCs w:val="0"/>
          <w:highlight w:val="none"/>
        </w:rPr>
        <w:t>9</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pPr>
        <w:pStyle w:val="11"/>
        <w:tabs>
          <w:tab w:val="right" w:leader="dot" w:pos="8900"/>
        </w:tabs>
        <w:rPr>
          <w:rFonts w:ascii="宋体" w:hAnsi="宋体" w:cs="宋体"/>
          <w:b w:val="0"/>
          <w:bCs w:val="0"/>
          <w:highlight w:val="none"/>
        </w:rPr>
      </w:pPr>
      <w:r>
        <w:rPr>
          <w:highlight w:val="none"/>
        </w:rPr>
        <w:fldChar w:fldCharType="begin"/>
      </w:r>
      <w:r>
        <w:rPr>
          <w:highlight w:val="none"/>
        </w:rPr>
        <w:instrText xml:space="preserve"> HYPERLINK \l "_Toc23700" </w:instrText>
      </w:r>
      <w:r>
        <w:rPr>
          <w:highlight w:val="none"/>
        </w:rPr>
        <w:fldChar w:fldCharType="separate"/>
      </w:r>
      <w:r>
        <w:rPr>
          <w:rFonts w:hint="eastAsia" w:ascii="宋体" w:hAnsi="宋体" w:cs="宋体"/>
          <w:b w:val="0"/>
          <w:bCs w:val="0"/>
          <w:highlight w:val="none"/>
        </w:rPr>
        <w:t>四、 其他事项</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_Toc23700 \h </w:instrText>
      </w:r>
      <w:r>
        <w:rPr>
          <w:rFonts w:hint="eastAsia" w:ascii="宋体" w:hAnsi="宋体" w:cs="宋体"/>
          <w:b w:val="0"/>
          <w:bCs w:val="0"/>
          <w:highlight w:val="none"/>
        </w:rPr>
        <w:fldChar w:fldCharType="separate"/>
      </w:r>
      <w:r>
        <w:rPr>
          <w:rFonts w:hint="eastAsia" w:ascii="宋体" w:hAnsi="宋体" w:cs="宋体"/>
          <w:b w:val="0"/>
          <w:bCs w:val="0"/>
          <w:highlight w:val="none"/>
        </w:rPr>
        <w:t>10</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pPr>
        <w:pStyle w:val="11"/>
        <w:tabs>
          <w:tab w:val="right" w:leader="dot" w:pos="8900"/>
        </w:tabs>
        <w:rPr>
          <w:rFonts w:ascii="宋体" w:hAnsi="宋体" w:cs="宋体"/>
          <w:b w:val="0"/>
          <w:bCs w:val="0"/>
          <w:highlight w:val="none"/>
        </w:rPr>
      </w:pPr>
      <w:r>
        <w:rPr>
          <w:highlight w:val="none"/>
        </w:rPr>
        <w:fldChar w:fldCharType="begin"/>
      </w:r>
      <w:r>
        <w:rPr>
          <w:highlight w:val="none"/>
        </w:rPr>
        <w:instrText xml:space="preserve"> HYPERLINK \l "_Toc17608" </w:instrText>
      </w:r>
      <w:r>
        <w:rPr>
          <w:highlight w:val="none"/>
        </w:rPr>
        <w:fldChar w:fldCharType="separate"/>
      </w:r>
      <w:r>
        <w:rPr>
          <w:rFonts w:hint="eastAsia" w:ascii="宋体" w:hAnsi="宋体" w:cs="宋体"/>
          <w:b w:val="0"/>
          <w:bCs w:val="0"/>
          <w:szCs w:val="19"/>
          <w:highlight w:val="none"/>
        </w:rPr>
        <w:t>第三章、评分标准</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_Toc17608 \h </w:instrText>
      </w:r>
      <w:r>
        <w:rPr>
          <w:rFonts w:hint="eastAsia" w:ascii="宋体" w:hAnsi="宋体" w:cs="宋体"/>
          <w:b w:val="0"/>
          <w:bCs w:val="0"/>
          <w:highlight w:val="none"/>
        </w:rPr>
        <w:fldChar w:fldCharType="separate"/>
      </w:r>
      <w:r>
        <w:rPr>
          <w:rFonts w:hint="eastAsia" w:ascii="宋体" w:hAnsi="宋体" w:cs="宋体"/>
          <w:b w:val="0"/>
          <w:bCs w:val="0"/>
          <w:highlight w:val="none"/>
        </w:rPr>
        <w:t>11</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pPr>
        <w:pStyle w:val="11"/>
        <w:tabs>
          <w:tab w:val="right" w:leader="dot" w:pos="8900"/>
        </w:tabs>
        <w:rPr>
          <w:rFonts w:ascii="宋体" w:hAnsi="宋体" w:cs="宋体"/>
          <w:b w:val="0"/>
          <w:bCs w:val="0"/>
          <w:highlight w:val="none"/>
        </w:rPr>
      </w:pPr>
      <w:r>
        <w:rPr>
          <w:highlight w:val="none"/>
        </w:rPr>
        <w:fldChar w:fldCharType="begin"/>
      </w:r>
      <w:r>
        <w:rPr>
          <w:highlight w:val="none"/>
        </w:rPr>
        <w:instrText xml:space="preserve"> HYPERLINK \l "_Toc32023" </w:instrText>
      </w:r>
      <w:r>
        <w:rPr>
          <w:highlight w:val="none"/>
        </w:rPr>
        <w:fldChar w:fldCharType="separate"/>
      </w:r>
      <w:r>
        <w:rPr>
          <w:rFonts w:hint="eastAsia" w:ascii="宋体" w:hAnsi="宋体" w:cs="宋体"/>
          <w:b w:val="0"/>
          <w:bCs w:val="0"/>
          <w:highlight w:val="none"/>
        </w:rPr>
        <w:t>一、 评标方法</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_Toc32023 \h </w:instrText>
      </w:r>
      <w:r>
        <w:rPr>
          <w:rFonts w:hint="eastAsia" w:ascii="宋体" w:hAnsi="宋体" w:cs="宋体"/>
          <w:b w:val="0"/>
          <w:bCs w:val="0"/>
          <w:highlight w:val="none"/>
        </w:rPr>
        <w:fldChar w:fldCharType="separate"/>
      </w:r>
      <w:r>
        <w:rPr>
          <w:rFonts w:hint="eastAsia" w:ascii="宋体" w:hAnsi="宋体" w:cs="宋体"/>
          <w:b w:val="0"/>
          <w:bCs w:val="0"/>
          <w:highlight w:val="none"/>
        </w:rPr>
        <w:t>11</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pPr>
        <w:pStyle w:val="11"/>
        <w:tabs>
          <w:tab w:val="right" w:leader="dot" w:pos="8900"/>
        </w:tabs>
        <w:rPr>
          <w:rFonts w:ascii="宋体" w:hAnsi="宋体" w:cs="宋体"/>
          <w:b w:val="0"/>
          <w:bCs w:val="0"/>
          <w:highlight w:val="none"/>
        </w:rPr>
      </w:pPr>
      <w:r>
        <w:rPr>
          <w:highlight w:val="none"/>
        </w:rPr>
        <w:fldChar w:fldCharType="begin"/>
      </w:r>
      <w:r>
        <w:rPr>
          <w:highlight w:val="none"/>
        </w:rPr>
        <w:instrText xml:space="preserve"> HYPERLINK \l "_Toc15318" </w:instrText>
      </w:r>
      <w:r>
        <w:rPr>
          <w:highlight w:val="none"/>
        </w:rPr>
        <w:fldChar w:fldCharType="separate"/>
      </w:r>
      <w:r>
        <w:rPr>
          <w:rFonts w:hint="eastAsia" w:ascii="宋体" w:hAnsi="宋体" w:cs="宋体"/>
          <w:b w:val="0"/>
          <w:bCs w:val="0"/>
          <w:highlight w:val="none"/>
        </w:rPr>
        <w:t>二、 评标表</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_Toc15318 \h </w:instrText>
      </w:r>
      <w:r>
        <w:rPr>
          <w:rFonts w:hint="eastAsia" w:ascii="宋体" w:hAnsi="宋体" w:cs="宋体"/>
          <w:b w:val="0"/>
          <w:bCs w:val="0"/>
          <w:highlight w:val="none"/>
        </w:rPr>
        <w:fldChar w:fldCharType="separate"/>
      </w:r>
      <w:r>
        <w:rPr>
          <w:rFonts w:hint="eastAsia" w:ascii="宋体" w:hAnsi="宋体" w:cs="宋体"/>
          <w:b w:val="0"/>
          <w:bCs w:val="0"/>
          <w:highlight w:val="none"/>
        </w:rPr>
        <w:t>12</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pPr>
        <w:pStyle w:val="11"/>
        <w:tabs>
          <w:tab w:val="right" w:leader="dot" w:pos="8900"/>
        </w:tabs>
        <w:rPr>
          <w:rFonts w:ascii="宋体" w:hAnsi="宋体" w:cs="宋体"/>
          <w:b w:val="0"/>
          <w:bCs w:val="0"/>
          <w:highlight w:val="none"/>
        </w:rPr>
      </w:pPr>
      <w:r>
        <w:rPr>
          <w:highlight w:val="none"/>
        </w:rPr>
        <w:fldChar w:fldCharType="begin"/>
      </w:r>
      <w:r>
        <w:rPr>
          <w:highlight w:val="none"/>
        </w:rPr>
        <w:instrText xml:space="preserve"> HYPERLINK \l "_Toc488" </w:instrText>
      </w:r>
      <w:r>
        <w:rPr>
          <w:highlight w:val="none"/>
        </w:rPr>
        <w:fldChar w:fldCharType="separate"/>
      </w:r>
      <w:r>
        <w:rPr>
          <w:rFonts w:hint="eastAsia" w:ascii="宋体" w:hAnsi="宋体" w:cs="宋体"/>
          <w:b w:val="0"/>
          <w:bCs w:val="0"/>
          <w:szCs w:val="28"/>
          <w:highlight w:val="none"/>
        </w:rPr>
        <w:t>三、 评分办法</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_Toc488 \h </w:instrText>
      </w:r>
      <w:r>
        <w:rPr>
          <w:rFonts w:hint="eastAsia" w:ascii="宋体" w:hAnsi="宋体" w:cs="宋体"/>
          <w:b w:val="0"/>
          <w:bCs w:val="0"/>
          <w:highlight w:val="none"/>
        </w:rPr>
        <w:fldChar w:fldCharType="separate"/>
      </w:r>
      <w:r>
        <w:rPr>
          <w:rFonts w:hint="eastAsia" w:ascii="宋体" w:hAnsi="宋体" w:cs="宋体"/>
          <w:b w:val="0"/>
          <w:bCs w:val="0"/>
          <w:highlight w:val="none"/>
        </w:rPr>
        <w:t>13</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pPr>
        <w:pStyle w:val="11"/>
        <w:tabs>
          <w:tab w:val="right" w:leader="dot" w:pos="8900"/>
        </w:tabs>
        <w:rPr>
          <w:highlight w:val="none"/>
        </w:rPr>
      </w:pPr>
      <w:r>
        <w:rPr>
          <w:highlight w:val="none"/>
        </w:rPr>
        <w:fldChar w:fldCharType="begin"/>
      </w:r>
      <w:r>
        <w:rPr>
          <w:highlight w:val="none"/>
        </w:rPr>
        <w:instrText xml:space="preserve"> HYPERLINK \l "_Toc7008" </w:instrText>
      </w:r>
      <w:r>
        <w:rPr>
          <w:highlight w:val="none"/>
        </w:rPr>
        <w:fldChar w:fldCharType="separate"/>
      </w:r>
      <w:r>
        <w:rPr>
          <w:rFonts w:hint="eastAsia" w:ascii="宋体" w:hAnsi="宋体" w:cs="宋体"/>
          <w:b w:val="0"/>
          <w:bCs w:val="0"/>
          <w:szCs w:val="28"/>
          <w:highlight w:val="none"/>
        </w:rPr>
        <w:t>四、 评分结果</w:t>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_Toc7008 \h </w:instrText>
      </w:r>
      <w:r>
        <w:rPr>
          <w:rFonts w:hint="eastAsia" w:ascii="宋体" w:hAnsi="宋体" w:cs="宋体"/>
          <w:b w:val="0"/>
          <w:bCs w:val="0"/>
          <w:highlight w:val="none"/>
        </w:rPr>
        <w:fldChar w:fldCharType="separate"/>
      </w:r>
      <w:r>
        <w:rPr>
          <w:rFonts w:hint="eastAsia" w:ascii="宋体" w:hAnsi="宋体" w:cs="宋体"/>
          <w:b w:val="0"/>
          <w:bCs w:val="0"/>
          <w:highlight w:val="none"/>
        </w:rPr>
        <w:t>13</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pPr>
        <w:pStyle w:val="11"/>
        <w:tabs>
          <w:tab w:val="right" w:leader="dot" w:pos="8900"/>
        </w:tabs>
        <w:rPr>
          <w:rFonts w:ascii="宋体" w:hAnsi="宋体" w:cs="宋体"/>
          <w:b w:val="0"/>
          <w:bCs w:val="0"/>
          <w:highlight w:val="none"/>
        </w:rPr>
        <w:sectPr>
          <w:headerReference r:id="rId9" w:type="default"/>
          <w:footerReference r:id="rId10" w:type="default"/>
          <w:pgSz w:w="11906" w:h="16838"/>
          <w:pgMar w:top="1304" w:right="1418" w:bottom="1304" w:left="1588" w:header="964" w:footer="851" w:gutter="0"/>
          <w:pgNumType w:start="1"/>
          <w:cols w:space="720" w:num="1"/>
          <w:formProt w:val="0"/>
        </w:sectPr>
      </w:pPr>
      <w:r>
        <w:rPr>
          <w:rFonts w:hint="eastAsia"/>
          <w:b w:val="0"/>
          <w:bCs w:val="0"/>
          <w:highlight w:val="none"/>
        </w:rPr>
        <w:t>第四章、投标文件格式</w:t>
      </w:r>
      <w:r>
        <w:rPr>
          <w:highlight w:val="none"/>
        </w:rPr>
        <w:fldChar w:fldCharType="begin"/>
      </w:r>
      <w:r>
        <w:rPr>
          <w:highlight w:val="none"/>
        </w:rPr>
        <w:instrText xml:space="preserve"> HYPERLINK \l "_Toc26591" </w:instrText>
      </w:r>
      <w:r>
        <w:rPr>
          <w:highlight w:val="none"/>
        </w:rPr>
        <w:fldChar w:fldCharType="separate"/>
      </w:r>
      <w:r>
        <w:rPr>
          <w:rFonts w:hint="eastAsia" w:ascii="宋体" w:hAnsi="宋体" w:cs="宋体"/>
          <w:b w:val="0"/>
          <w:bCs w:val="0"/>
          <w:highlight w:val="none"/>
        </w:rPr>
        <w:tab/>
      </w:r>
      <w:r>
        <w:rPr>
          <w:rFonts w:hint="eastAsia" w:ascii="宋体" w:hAnsi="宋体" w:cs="宋体"/>
          <w:b w:val="0"/>
          <w:bCs w:val="0"/>
          <w:highlight w:val="none"/>
        </w:rPr>
        <w:fldChar w:fldCharType="begin"/>
      </w:r>
      <w:r>
        <w:rPr>
          <w:rFonts w:hint="eastAsia" w:ascii="宋体" w:hAnsi="宋体" w:cs="宋体"/>
          <w:b w:val="0"/>
          <w:bCs w:val="0"/>
          <w:highlight w:val="none"/>
        </w:rPr>
        <w:instrText xml:space="preserve"> PAGEREF _Toc26591 \h </w:instrText>
      </w:r>
      <w:r>
        <w:rPr>
          <w:rFonts w:hint="eastAsia" w:ascii="宋体" w:hAnsi="宋体" w:cs="宋体"/>
          <w:b w:val="0"/>
          <w:bCs w:val="0"/>
          <w:highlight w:val="none"/>
        </w:rPr>
        <w:fldChar w:fldCharType="separate"/>
      </w:r>
      <w:r>
        <w:rPr>
          <w:rFonts w:hint="eastAsia" w:ascii="宋体" w:hAnsi="宋体" w:cs="宋体"/>
          <w:b w:val="0"/>
          <w:bCs w:val="0"/>
          <w:highlight w:val="none"/>
        </w:rPr>
        <w:t>16</w:t>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r>
        <w:rPr>
          <w:rFonts w:hint="eastAsia" w:ascii="宋体" w:hAnsi="宋体" w:cs="宋体"/>
          <w:b w:val="0"/>
          <w:bCs w:val="0"/>
          <w:highlight w:val="none"/>
        </w:rPr>
        <w:fldChar w:fldCharType="end"/>
      </w:r>
    </w:p>
    <w:p>
      <w:pPr>
        <w:pStyle w:val="3"/>
        <w:spacing w:before="240" w:after="240" w:afterLines="100"/>
        <w:jc w:val="center"/>
        <w:rPr>
          <w:rFonts w:ascii="方正小标宋简体" w:hAnsi="方正小标宋简体" w:eastAsia="方正小标宋简体" w:cs="方正小标宋简体"/>
          <w:szCs w:val="32"/>
          <w:highlight w:val="none"/>
        </w:rPr>
      </w:pPr>
      <w:bookmarkStart w:id="15" w:name="_Toc19241"/>
      <w:bookmarkStart w:id="16" w:name="_Toc3967"/>
      <w:bookmarkStart w:id="17" w:name="_Toc9219"/>
      <w:r>
        <w:rPr>
          <w:rFonts w:hint="eastAsia" w:ascii="方正小标宋简体" w:hAnsi="方正小标宋简体" w:eastAsia="方正小标宋简体" w:cs="方正小标宋简体"/>
          <w:sz w:val="44"/>
          <w:szCs w:val="48"/>
          <w:highlight w:val="none"/>
        </w:rPr>
        <w:t>第一章、招标公告</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before="120" w:line="460" w:lineRule="exact"/>
        <w:ind w:firstLine="640" w:firstLineChars="200"/>
        <w:jc w:val="both"/>
        <w:textAlignment w:val="auto"/>
        <w:outlineLvl w:val="9"/>
        <w:rPr>
          <w:rFonts w:hint="eastAsia" w:ascii="仿宋" w:hAnsi="仿宋" w:eastAsia="仿宋" w:cs="仿宋"/>
          <w:sz w:val="32"/>
          <w:szCs w:val="32"/>
          <w:highlight w:val="none"/>
        </w:rPr>
      </w:pPr>
      <w:bookmarkStart w:id="18" w:name="_Toc2623"/>
      <w:r>
        <w:rPr>
          <w:rFonts w:hint="eastAsia" w:ascii="仿宋" w:hAnsi="仿宋" w:eastAsia="仿宋" w:cs="仿宋"/>
          <w:color w:val="404040"/>
          <w:sz w:val="32"/>
          <w:highlight w:val="none"/>
        </w:rPr>
        <w:t>武汉生态环境设计研究院有限公司2022-2024年度常年法律顾问公开招标项目</w:t>
      </w:r>
      <w:r>
        <w:rPr>
          <w:rFonts w:hint="eastAsia" w:ascii="仿宋" w:hAnsi="仿宋" w:eastAsia="仿宋" w:cs="仿宋"/>
          <w:sz w:val="32"/>
          <w:szCs w:val="32"/>
          <w:highlight w:val="none"/>
        </w:rPr>
        <w:t>在投标截止时间止，递交投标文件的有效投人不足三家，做流标处理。现该项目再次进行公开招标，采购</w:t>
      </w:r>
      <w:r>
        <w:rPr>
          <w:rFonts w:hint="eastAsia" w:ascii="仿宋" w:hAnsi="仿宋" w:eastAsia="仿宋" w:cs="仿宋"/>
          <w:sz w:val="32"/>
          <w:szCs w:val="32"/>
          <w:highlight w:val="none"/>
          <w:lang w:eastAsia="zh-CN"/>
        </w:rPr>
        <w:t>资</w:t>
      </w:r>
      <w:r>
        <w:rPr>
          <w:rFonts w:hint="eastAsia" w:ascii="仿宋" w:hAnsi="仿宋" w:eastAsia="仿宋" w:cs="仿宋"/>
          <w:sz w:val="32"/>
          <w:szCs w:val="32"/>
          <w:highlight w:val="none"/>
        </w:rPr>
        <w:t>金已全部落实，欢迎符合条件的供应商参加投标。</w:t>
      </w:r>
    </w:p>
    <w:p>
      <w:pPr>
        <w:pStyle w:val="12"/>
        <w:numPr>
          <w:ilvl w:val="0"/>
          <w:numId w:val="1"/>
        </w:numPr>
        <w:spacing w:before="120" w:beforeAutospacing="0" w:after="0" w:afterAutospacing="0" w:line="460" w:lineRule="exact"/>
        <w:ind w:firstLine="611" w:firstLineChars="200"/>
        <w:outlineLvl w:val="0"/>
        <w:rPr>
          <w:rFonts w:ascii="黑体" w:hAnsi="黑体" w:eastAsia="黑体" w:cs="黑体"/>
          <w:b/>
          <w:bCs/>
          <w:snapToGrid w:val="0"/>
          <w:color w:val="000000"/>
          <w:spacing w:val="-8"/>
          <w:sz w:val="32"/>
          <w:szCs w:val="30"/>
          <w:highlight w:val="none"/>
        </w:rPr>
      </w:pPr>
      <w:r>
        <w:rPr>
          <w:rFonts w:hint="eastAsia" w:ascii="黑体" w:hAnsi="黑体" w:eastAsia="黑体" w:cs="黑体"/>
          <w:b/>
          <w:bCs/>
          <w:snapToGrid w:val="0"/>
          <w:color w:val="000000"/>
          <w:spacing w:val="-8"/>
          <w:sz w:val="32"/>
          <w:szCs w:val="30"/>
          <w:highlight w:val="none"/>
        </w:rPr>
        <w:t>项目名称</w:t>
      </w:r>
      <w:bookmarkEnd w:id="18"/>
    </w:p>
    <w:p>
      <w:pPr>
        <w:pStyle w:val="12"/>
        <w:spacing w:before="120" w:beforeAutospacing="0" w:after="0" w:afterAutospacing="0" w:line="460" w:lineRule="exact"/>
        <w:ind w:firstLine="480"/>
        <w:rPr>
          <w:rFonts w:ascii="仿宋" w:hAnsi="仿宋" w:eastAsia="仿宋" w:cs="仿宋"/>
          <w:sz w:val="32"/>
          <w:highlight w:val="none"/>
        </w:rPr>
      </w:pPr>
      <w:bookmarkStart w:id="19" w:name="_Hlk46694749"/>
      <w:bookmarkEnd w:id="19"/>
      <w:r>
        <w:rPr>
          <w:rFonts w:hint="eastAsia" w:ascii="仿宋" w:hAnsi="仿宋" w:eastAsia="仿宋" w:cs="仿宋"/>
          <w:color w:val="404040"/>
          <w:sz w:val="32"/>
          <w:highlight w:val="none"/>
        </w:rPr>
        <w:t>武汉生态环境设计研究院有限公司2022-2024年度常年法律顾问公开招标项目</w:t>
      </w:r>
      <w:r>
        <w:rPr>
          <w:rFonts w:hint="eastAsia" w:ascii="仿宋" w:hAnsi="仿宋" w:eastAsia="仿宋" w:cs="仿宋"/>
          <w:color w:val="404040"/>
          <w:sz w:val="32"/>
          <w:highlight w:val="none"/>
          <w:lang w:eastAsia="zh-CN"/>
        </w:rPr>
        <w:t>（第二次）</w:t>
      </w:r>
      <w:r>
        <w:rPr>
          <w:rFonts w:hint="eastAsia" w:ascii="仿宋" w:hAnsi="仿宋" w:eastAsia="仿宋" w:cs="仿宋"/>
          <w:color w:val="404040"/>
          <w:sz w:val="32"/>
          <w:highlight w:val="none"/>
        </w:rPr>
        <w:t>。</w:t>
      </w:r>
    </w:p>
    <w:p>
      <w:pPr>
        <w:widowControl/>
        <w:numPr>
          <w:ilvl w:val="0"/>
          <w:numId w:val="2"/>
        </w:numPr>
        <w:spacing w:line="520" w:lineRule="exact"/>
        <w:ind w:firstLine="643" w:firstLineChars="200"/>
        <w:outlineLvl w:val="0"/>
        <w:rPr>
          <w:rFonts w:ascii="黑体" w:hAnsi="黑体" w:eastAsia="黑体" w:cs="黑体"/>
          <w:b/>
          <w:bCs/>
          <w:kern w:val="0"/>
          <w:sz w:val="32"/>
          <w:szCs w:val="30"/>
          <w:highlight w:val="none"/>
        </w:rPr>
      </w:pPr>
      <w:bookmarkStart w:id="20" w:name="_Toc20964"/>
      <w:r>
        <w:rPr>
          <w:rFonts w:hint="eastAsia" w:ascii="黑体" w:hAnsi="黑体" w:eastAsia="黑体" w:cs="黑体"/>
          <w:b/>
          <w:bCs/>
          <w:kern w:val="0"/>
          <w:sz w:val="32"/>
          <w:szCs w:val="30"/>
          <w:highlight w:val="none"/>
        </w:rPr>
        <w:t>项目概况</w:t>
      </w:r>
      <w:bookmarkEnd w:id="20"/>
    </w:p>
    <w:p>
      <w:pPr>
        <w:pStyle w:val="12"/>
        <w:numPr>
          <w:ilvl w:val="0"/>
          <w:numId w:val="3"/>
        </w:numPr>
        <w:spacing w:before="120" w:beforeAutospacing="0" w:after="0" w:afterAutospacing="0" w:line="460" w:lineRule="exact"/>
        <w:ind w:firstLine="643" w:firstLineChars="200"/>
        <w:rPr>
          <w:rFonts w:ascii="仿宋" w:hAnsi="仿宋" w:eastAsia="仿宋" w:cs="仿宋"/>
          <w:sz w:val="32"/>
          <w:highlight w:val="none"/>
        </w:rPr>
      </w:pPr>
      <w:r>
        <w:rPr>
          <w:rFonts w:hint="eastAsia" w:ascii="仿宋" w:hAnsi="仿宋" w:eastAsia="仿宋" w:cs="仿宋"/>
          <w:b/>
          <w:bCs/>
          <w:sz w:val="32"/>
          <w:highlight w:val="none"/>
        </w:rPr>
        <w:t>服务对象：</w:t>
      </w:r>
      <w:r>
        <w:rPr>
          <w:rFonts w:hint="eastAsia" w:ascii="仿宋" w:hAnsi="仿宋" w:eastAsia="仿宋" w:cs="仿宋"/>
          <w:sz w:val="32"/>
          <w:highlight w:val="none"/>
        </w:rPr>
        <w:t>武汉生态环境设计研究院有限公司及所属子、分公司和一家关联企业。（注：含有2家二级子公司、9家分公司、1家三级子公司及1家关联企业）</w:t>
      </w:r>
    </w:p>
    <w:p>
      <w:pPr>
        <w:pStyle w:val="12"/>
        <w:spacing w:before="120" w:beforeAutospacing="0" w:after="0" w:afterAutospacing="0" w:line="460" w:lineRule="exact"/>
        <w:ind w:firstLine="643" w:firstLineChars="200"/>
        <w:rPr>
          <w:rFonts w:ascii="仿宋" w:hAnsi="仿宋" w:eastAsia="仿宋" w:cs="仿宋"/>
          <w:sz w:val="32"/>
          <w:highlight w:val="none"/>
        </w:rPr>
      </w:pPr>
      <w:r>
        <w:rPr>
          <w:rFonts w:hint="eastAsia" w:ascii="仿宋" w:hAnsi="仿宋" w:eastAsia="仿宋" w:cs="仿宋"/>
          <w:b/>
          <w:bCs/>
          <w:sz w:val="32"/>
          <w:szCs w:val="30"/>
          <w:highlight w:val="none"/>
        </w:rPr>
        <w:t>2.服务期限：</w:t>
      </w:r>
      <w:r>
        <w:rPr>
          <w:rFonts w:hint="eastAsia" w:ascii="仿宋" w:hAnsi="仿宋" w:eastAsia="仿宋" w:cs="仿宋"/>
          <w:sz w:val="32"/>
          <w:highlight w:val="none"/>
        </w:rPr>
        <w:t>本次常年法律顾问服务期限定为两年，具体时间自法律服务协议生效之日起计算。</w:t>
      </w:r>
    </w:p>
    <w:p>
      <w:pPr>
        <w:pStyle w:val="12"/>
        <w:spacing w:before="120" w:beforeAutospacing="0" w:after="0" w:afterAutospacing="0" w:line="460" w:lineRule="exact"/>
        <w:ind w:firstLine="643" w:firstLineChars="200"/>
        <w:rPr>
          <w:rStyle w:val="15"/>
          <w:rFonts w:ascii="仿宋" w:hAnsi="仿宋" w:eastAsia="仿宋" w:cs="仿宋"/>
          <w:sz w:val="32"/>
          <w:highlight w:val="none"/>
        </w:rPr>
      </w:pPr>
      <w:r>
        <w:rPr>
          <w:rFonts w:hint="eastAsia" w:ascii="仿宋" w:hAnsi="仿宋" w:eastAsia="仿宋" w:cs="仿宋"/>
          <w:b/>
          <w:bCs/>
          <w:sz w:val="32"/>
          <w:szCs w:val="30"/>
          <w:highlight w:val="none"/>
        </w:rPr>
        <w:t>3.服务费用控制价：</w:t>
      </w:r>
      <w:r>
        <w:rPr>
          <w:rFonts w:hint="eastAsia" w:ascii="仿宋" w:hAnsi="仿宋" w:eastAsia="仿宋" w:cs="仿宋"/>
          <w:sz w:val="32"/>
          <w:highlight w:val="none"/>
        </w:rPr>
        <w:t>法律顾问服务费用报价不超过25万/年（人民币）。投标报价超过服务费用控制价的，按无效投标文件处理。（注：投标报价应含完成本项目服务工作所需的全部费用，招标人不再另行支付其他任何费用。）</w:t>
      </w:r>
    </w:p>
    <w:p>
      <w:pPr>
        <w:pStyle w:val="12"/>
        <w:spacing w:before="120" w:beforeAutospacing="0" w:after="0" w:afterAutospacing="0" w:line="460" w:lineRule="exact"/>
        <w:ind w:firstLine="643" w:firstLineChars="200"/>
        <w:rPr>
          <w:rStyle w:val="15"/>
          <w:rFonts w:ascii="仿宋" w:hAnsi="仿宋" w:eastAsia="仿宋" w:cs="仿宋"/>
          <w:color w:val="404040"/>
          <w:sz w:val="32"/>
          <w:highlight w:val="none"/>
        </w:rPr>
      </w:pPr>
      <w:r>
        <w:rPr>
          <w:rStyle w:val="15"/>
          <w:rFonts w:hint="eastAsia" w:ascii="仿宋" w:hAnsi="仿宋" w:eastAsia="仿宋" w:cs="仿宋"/>
          <w:color w:val="404040"/>
          <w:sz w:val="32"/>
          <w:highlight w:val="none"/>
        </w:rPr>
        <w:t>4.服务内容：</w:t>
      </w:r>
    </w:p>
    <w:p>
      <w:pPr>
        <w:pStyle w:val="12"/>
        <w:numPr>
          <w:ilvl w:val="0"/>
          <w:numId w:val="4"/>
        </w:numPr>
        <w:spacing w:before="120" w:beforeAutospacing="0" w:after="0" w:afterAutospacing="0" w:line="460" w:lineRule="exact"/>
        <w:ind w:firstLine="640" w:firstLineChars="200"/>
        <w:outlineLvl w:val="3"/>
        <w:rPr>
          <w:rFonts w:ascii="仿宋" w:hAnsi="仿宋" w:eastAsia="仿宋" w:cs="仿宋"/>
          <w:sz w:val="32"/>
          <w:highlight w:val="none"/>
        </w:rPr>
      </w:pPr>
      <w:r>
        <w:rPr>
          <w:rFonts w:hint="eastAsia" w:ascii="仿宋" w:hAnsi="仿宋" w:eastAsia="仿宋" w:cs="仿宋"/>
          <w:color w:val="404040"/>
          <w:sz w:val="32"/>
          <w:highlight w:val="none"/>
        </w:rPr>
        <w:t>法律风险防控体系的建立健全：包括但不限于协助、指导公司建立健全组织结构体系、管控体系、规章制度体系、合同管理体系、产业板块转型调整等法律风险防范体系。为公司经济活动提供全方位的风险防控建议和采取的必要措施，堵塞管理漏洞，维护经济利益，控制法律风险。</w:t>
      </w:r>
    </w:p>
    <w:p>
      <w:pPr>
        <w:pStyle w:val="12"/>
        <w:numPr>
          <w:ilvl w:val="0"/>
          <w:numId w:val="4"/>
        </w:numPr>
        <w:spacing w:before="120" w:beforeAutospacing="0" w:after="0" w:afterAutospacing="0" w:line="460" w:lineRule="exact"/>
        <w:ind w:firstLine="640" w:firstLineChars="200"/>
        <w:outlineLvl w:val="3"/>
        <w:rPr>
          <w:rFonts w:ascii="仿宋" w:hAnsi="仿宋" w:eastAsia="仿宋" w:cs="仿宋"/>
          <w:sz w:val="32"/>
          <w:highlight w:val="none"/>
        </w:rPr>
      </w:pPr>
      <w:r>
        <w:rPr>
          <w:rFonts w:hint="eastAsia" w:ascii="仿宋" w:hAnsi="仿宋" w:eastAsia="仿宋" w:cs="仿宋"/>
          <w:color w:val="404040"/>
          <w:sz w:val="32"/>
          <w:highlight w:val="none"/>
        </w:rPr>
        <w:t>法律文件审查：参与起草、审议、修改公司在经营、管理及对外经济活动中的合同、协议、章程等有关法律事务文书和规章制度，并参与会签。</w:t>
      </w:r>
    </w:p>
    <w:p>
      <w:pPr>
        <w:pStyle w:val="12"/>
        <w:numPr>
          <w:ilvl w:val="0"/>
          <w:numId w:val="4"/>
        </w:numPr>
        <w:spacing w:before="120" w:beforeAutospacing="0" w:after="0" w:afterAutospacing="0" w:line="460" w:lineRule="exact"/>
        <w:ind w:firstLine="640" w:firstLineChars="200"/>
        <w:outlineLvl w:val="3"/>
        <w:rPr>
          <w:rFonts w:ascii="仿宋" w:hAnsi="仿宋" w:eastAsia="仿宋" w:cs="仿宋"/>
          <w:sz w:val="32"/>
          <w:highlight w:val="none"/>
        </w:rPr>
      </w:pPr>
      <w:r>
        <w:rPr>
          <w:rFonts w:hint="eastAsia" w:ascii="仿宋" w:hAnsi="仿宋" w:eastAsia="仿宋" w:cs="仿宋"/>
          <w:color w:val="404040"/>
          <w:sz w:val="32"/>
          <w:highlight w:val="none"/>
        </w:rPr>
        <w:t>日常及专项法律咨询：应就公司日常经营或重大事项提供日常及专项法律咨询服务，以书面或口头方式解答法律咨询事项，提供与公司活动有关的法律信息，对有关事项的合法性进行审查，参与相关事项初步尽职调查、法律风险分析、评估及论证，列席有关专题会议，提出法律意见和建议，必要时参与有关磋商和谈判，出具法律意见书。</w:t>
      </w:r>
    </w:p>
    <w:p>
      <w:pPr>
        <w:pStyle w:val="12"/>
        <w:numPr>
          <w:ilvl w:val="0"/>
          <w:numId w:val="4"/>
        </w:numPr>
        <w:spacing w:before="120" w:beforeAutospacing="0" w:after="0" w:afterAutospacing="0" w:line="460" w:lineRule="exact"/>
        <w:ind w:firstLine="640" w:firstLineChars="200"/>
        <w:outlineLvl w:val="3"/>
        <w:rPr>
          <w:rFonts w:ascii="仿宋" w:hAnsi="仿宋" w:eastAsia="仿宋" w:cs="仿宋"/>
          <w:sz w:val="32"/>
          <w:highlight w:val="none"/>
        </w:rPr>
      </w:pPr>
      <w:r>
        <w:rPr>
          <w:rFonts w:hint="eastAsia" w:ascii="仿宋" w:hAnsi="仿宋" w:eastAsia="仿宋" w:cs="仿宋"/>
          <w:color w:val="404040"/>
          <w:sz w:val="32"/>
          <w:highlight w:val="none"/>
        </w:rPr>
        <w:t>法律纠纷案件的处理：应公司要求，就公司及所属单位已经、面临或者可能发生的纠纷，进行法律论证，发表律师意见，提出解决方案，必要时出具律师函或法律意见书；受公司委托签署、送达或者接受法律文件，代为办理相关资信调查法律事务，或者参与非诉讼谈判、协调、调解；在授权范围内，代理各类诉讼、仲裁案件。</w:t>
      </w:r>
    </w:p>
    <w:p>
      <w:pPr>
        <w:pStyle w:val="12"/>
        <w:numPr>
          <w:ilvl w:val="0"/>
          <w:numId w:val="4"/>
        </w:numPr>
        <w:spacing w:before="120" w:beforeAutospacing="0" w:after="0" w:afterAutospacing="0" w:line="460" w:lineRule="exact"/>
        <w:ind w:firstLine="640" w:firstLineChars="200"/>
        <w:outlineLvl w:val="3"/>
        <w:rPr>
          <w:rFonts w:ascii="仿宋" w:hAnsi="仿宋" w:eastAsia="仿宋" w:cs="仿宋"/>
          <w:sz w:val="32"/>
          <w:highlight w:val="none"/>
        </w:rPr>
      </w:pPr>
      <w:r>
        <w:rPr>
          <w:rFonts w:hint="eastAsia" w:ascii="仿宋" w:hAnsi="仿宋" w:eastAsia="仿宋" w:cs="仿宋"/>
          <w:color w:val="404040"/>
          <w:sz w:val="32"/>
          <w:highlight w:val="none"/>
        </w:rPr>
        <w:t>法律事务培训事项：根据公司要求开展相关法律知识培训或专项法律风险防范培训等，每年开展法律培训不少于</w:t>
      </w:r>
      <w:r>
        <w:rPr>
          <w:rFonts w:hint="eastAsia" w:ascii="仿宋" w:hAnsi="仿宋" w:eastAsia="仿宋" w:cs="仿宋"/>
          <w:sz w:val="32"/>
          <w:highlight w:val="none"/>
        </w:rPr>
        <w:t>四次。</w:t>
      </w:r>
    </w:p>
    <w:p>
      <w:pPr>
        <w:pStyle w:val="12"/>
        <w:numPr>
          <w:ilvl w:val="0"/>
          <w:numId w:val="4"/>
        </w:numPr>
        <w:spacing w:before="120" w:beforeAutospacing="0" w:after="0" w:afterAutospacing="0" w:line="460" w:lineRule="exact"/>
        <w:ind w:firstLine="640" w:firstLineChars="200"/>
        <w:outlineLvl w:val="3"/>
        <w:rPr>
          <w:rFonts w:ascii="仿宋" w:hAnsi="仿宋" w:eastAsia="仿宋" w:cs="仿宋"/>
          <w:sz w:val="32"/>
          <w:highlight w:val="none"/>
        </w:rPr>
      </w:pPr>
      <w:r>
        <w:rPr>
          <w:rFonts w:hint="eastAsia" w:ascii="仿宋" w:hAnsi="仿宋" w:eastAsia="仿宋" w:cs="仿宋"/>
          <w:color w:val="404040"/>
          <w:sz w:val="32"/>
          <w:highlight w:val="none"/>
        </w:rPr>
        <w:t>突发事件、信访事件处理：应公司要求，参与涉及公司及所属单位的突发事件、信访事件的处理，列席相关会议、参加有关磋商、谈判，提出解决方案、发表律师意见，出具法律意见书或律师函。必要时对公司起草的新闻通稿、信访回复等文件进行审核修改、提出法律意见或建议。</w:t>
      </w:r>
    </w:p>
    <w:p>
      <w:pPr>
        <w:pStyle w:val="12"/>
        <w:numPr>
          <w:ilvl w:val="0"/>
          <w:numId w:val="4"/>
        </w:numPr>
        <w:spacing w:before="120" w:beforeAutospacing="0" w:after="0" w:afterAutospacing="0" w:line="460" w:lineRule="exact"/>
        <w:ind w:firstLine="640" w:firstLineChars="200"/>
        <w:outlineLvl w:val="3"/>
        <w:rPr>
          <w:rFonts w:ascii="仿宋" w:hAnsi="仿宋" w:eastAsia="仿宋" w:cs="仿宋"/>
          <w:sz w:val="32"/>
          <w:highlight w:val="none"/>
        </w:rPr>
      </w:pPr>
      <w:r>
        <w:rPr>
          <w:rFonts w:hint="eastAsia" w:ascii="仿宋" w:hAnsi="仿宋" w:eastAsia="仿宋" w:cs="仿宋"/>
          <w:color w:val="404040"/>
          <w:sz w:val="32"/>
          <w:highlight w:val="none"/>
        </w:rPr>
        <w:t>办理双方商定的其他法律事务： 公司各类型必须进入诉讼或者仲裁法律程序的法律纠纷案件的专案代理事务以及投资并购、合作开发、改制重组、上市等专项委托法律事务，不在受托人常年法律顾问服务范围之列，但受托人接受公司该等事项委托，收取的委托代理费用必须在其收费标准基础上给予一定程度的优惠。</w:t>
      </w:r>
    </w:p>
    <w:p>
      <w:pPr>
        <w:pStyle w:val="12"/>
        <w:numPr>
          <w:ilvl w:val="0"/>
          <w:numId w:val="4"/>
        </w:numPr>
        <w:spacing w:before="120" w:beforeAutospacing="0" w:after="0" w:afterAutospacing="0" w:line="460" w:lineRule="exact"/>
        <w:ind w:firstLine="640" w:firstLineChars="200"/>
        <w:outlineLvl w:val="3"/>
        <w:rPr>
          <w:rFonts w:ascii="仿宋" w:hAnsi="仿宋" w:eastAsia="仿宋" w:cs="仿宋"/>
          <w:sz w:val="32"/>
          <w:highlight w:val="none"/>
        </w:rPr>
      </w:pPr>
      <w:r>
        <w:rPr>
          <w:rFonts w:hint="eastAsia" w:ascii="仿宋" w:hAnsi="仿宋" w:eastAsia="仿宋" w:cs="仿宋"/>
          <w:color w:val="404040"/>
          <w:sz w:val="32"/>
          <w:highlight w:val="none"/>
        </w:rPr>
        <w:t>每年需向公司法务管理部门提交半年度及年度书面法律服务工作报告（分别为6月20日及12月20日前），并对公司经营管理和业务发展等方面提出有针对性的工作建议。</w:t>
      </w:r>
    </w:p>
    <w:p>
      <w:pPr>
        <w:pStyle w:val="12"/>
        <w:numPr>
          <w:ilvl w:val="0"/>
          <w:numId w:val="4"/>
        </w:numPr>
        <w:spacing w:before="120" w:beforeAutospacing="0" w:after="0" w:afterAutospacing="0" w:line="460" w:lineRule="exact"/>
        <w:ind w:firstLine="640" w:firstLineChars="200"/>
        <w:outlineLvl w:val="3"/>
        <w:rPr>
          <w:rFonts w:ascii="仿宋" w:hAnsi="仿宋" w:eastAsia="仿宋" w:cs="仿宋"/>
          <w:sz w:val="32"/>
          <w:highlight w:val="none"/>
        </w:rPr>
      </w:pPr>
      <w:r>
        <w:rPr>
          <w:rFonts w:hint="eastAsia" w:ascii="仿宋" w:hAnsi="仿宋" w:eastAsia="仿宋" w:cs="仿宋"/>
          <w:color w:val="404040"/>
          <w:sz w:val="32"/>
          <w:highlight w:val="none"/>
        </w:rPr>
        <w:t>办理公司交办的其他法律事务。</w:t>
      </w:r>
    </w:p>
    <w:p>
      <w:pPr>
        <w:pStyle w:val="12"/>
        <w:numPr>
          <w:ilvl w:val="0"/>
          <w:numId w:val="5"/>
        </w:numPr>
        <w:spacing w:before="120" w:beforeAutospacing="0" w:after="0" w:afterAutospacing="0" w:line="460" w:lineRule="exact"/>
        <w:ind w:firstLine="643" w:firstLineChars="200"/>
        <w:outlineLvl w:val="2"/>
        <w:rPr>
          <w:rFonts w:ascii="仿宋" w:hAnsi="仿宋" w:eastAsia="仿宋" w:cs="仿宋"/>
          <w:sz w:val="32"/>
          <w:highlight w:val="none"/>
        </w:rPr>
      </w:pPr>
      <w:bookmarkStart w:id="21" w:name="_Toc25683"/>
      <w:r>
        <w:rPr>
          <w:rStyle w:val="15"/>
          <w:rFonts w:hint="eastAsia" w:ascii="仿宋" w:hAnsi="仿宋" w:eastAsia="仿宋" w:cs="仿宋"/>
          <w:color w:val="404040"/>
          <w:sz w:val="32"/>
          <w:highlight w:val="none"/>
        </w:rPr>
        <w:t>对常年法律顾问机构派出律师的工作要求</w:t>
      </w:r>
      <w:bookmarkEnd w:id="21"/>
    </w:p>
    <w:p>
      <w:pPr>
        <w:pStyle w:val="12"/>
        <w:numPr>
          <w:ilvl w:val="0"/>
          <w:numId w:val="6"/>
        </w:numPr>
        <w:spacing w:before="120" w:beforeAutospacing="0" w:after="0" w:afterAutospacing="0" w:line="460" w:lineRule="exact"/>
        <w:ind w:firstLine="640" w:firstLineChars="200"/>
        <w:outlineLvl w:val="3"/>
        <w:rPr>
          <w:rFonts w:ascii="仿宋" w:hAnsi="仿宋" w:eastAsia="仿宋" w:cs="仿宋"/>
          <w:sz w:val="32"/>
          <w:highlight w:val="none"/>
        </w:rPr>
      </w:pPr>
      <w:r>
        <w:rPr>
          <w:rFonts w:hint="eastAsia" w:ascii="仿宋" w:hAnsi="仿宋" w:eastAsia="仿宋" w:cs="仿宋"/>
          <w:color w:val="404040"/>
          <w:sz w:val="32"/>
          <w:highlight w:val="none"/>
        </w:rPr>
        <w:t>律所需要安排3-5名的律师团队为公司提供法律服务，选派律师必须擅长处理与公司法、合同法、投融资、担保、租赁、产股权转让、重组、公司上市、招投标以及国有企业资产法等相关的法律事务，确保能充分且及时满足公司的各项需求；</w:t>
      </w:r>
    </w:p>
    <w:p>
      <w:pPr>
        <w:pStyle w:val="12"/>
        <w:numPr>
          <w:ilvl w:val="0"/>
          <w:numId w:val="6"/>
        </w:numPr>
        <w:spacing w:before="120" w:beforeAutospacing="0" w:after="0" w:afterAutospacing="0" w:line="460" w:lineRule="exact"/>
        <w:ind w:firstLine="640" w:firstLineChars="200"/>
        <w:outlineLvl w:val="3"/>
        <w:rPr>
          <w:rFonts w:ascii="仿宋" w:hAnsi="仿宋" w:eastAsia="仿宋" w:cs="仿宋"/>
          <w:sz w:val="32"/>
          <w:highlight w:val="none"/>
        </w:rPr>
      </w:pPr>
      <w:r>
        <w:rPr>
          <w:rFonts w:hint="eastAsia" w:ascii="仿宋" w:hAnsi="仿宋" w:eastAsia="仿宋" w:cs="仿宋"/>
          <w:color w:val="404040"/>
          <w:sz w:val="32"/>
          <w:highlight w:val="none"/>
        </w:rPr>
        <w:t>日常法律咨询与合同等文件的审核原则上应在</w:t>
      </w:r>
      <w:bookmarkStart w:id="22" w:name="_Hlk46698353"/>
      <w:bookmarkEnd w:id="22"/>
      <w:r>
        <w:rPr>
          <w:rFonts w:hint="eastAsia" w:ascii="仿宋" w:hAnsi="仿宋" w:eastAsia="仿宋" w:cs="仿宋"/>
          <w:color w:val="404040"/>
          <w:sz w:val="32"/>
          <w:highlight w:val="none"/>
        </w:rPr>
        <w:t>当日或次日以书面文字形式回复，有特别紧急情况的文件应在规定时间内及时回复；</w:t>
      </w:r>
    </w:p>
    <w:p>
      <w:pPr>
        <w:pStyle w:val="12"/>
        <w:numPr>
          <w:ilvl w:val="0"/>
          <w:numId w:val="6"/>
        </w:numPr>
        <w:spacing w:before="120" w:beforeAutospacing="0" w:after="0" w:afterAutospacing="0" w:line="460" w:lineRule="exact"/>
        <w:ind w:firstLine="640" w:firstLineChars="200"/>
        <w:outlineLvl w:val="3"/>
        <w:rPr>
          <w:rFonts w:ascii="仿宋" w:hAnsi="仿宋" w:eastAsia="仿宋" w:cs="仿宋"/>
          <w:sz w:val="32"/>
          <w:highlight w:val="none"/>
        </w:rPr>
      </w:pPr>
      <w:r>
        <w:rPr>
          <w:rFonts w:hint="eastAsia" w:ascii="仿宋" w:hAnsi="仿宋" w:eastAsia="仿宋" w:cs="仿宋"/>
          <w:color w:val="404040"/>
          <w:sz w:val="32"/>
          <w:highlight w:val="none"/>
        </w:rPr>
        <w:t>出具法律意见书应在公司提交相关材料后规定的当日或次日时间内完成；</w:t>
      </w:r>
    </w:p>
    <w:p>
      <w:pPr>
        <w:pStyle w:val="12"/>
        <w:numPr>
          <w:ilvl w:val="0"/>
          <w:numId w:val="7"/>
        </w:numPr>
        <w:spacing w:before="120" w:beforeAutospacing="0" w:after="0" w:afterAutospacing="0" w:line="460" w:lineRule="exact"/>
        <w:ind w:firstLine="643" w:firstLineChars="200"/>
        <w:outlineLvl w:val="2"/>
        <w:rPr>
          <w:rFonts w:ascii="仿宋" w:hAnsi="仿宋" w:eastAsia="仿宋" w:cs="仿宋"/>
          <w:sz w:val="32"/>
          <w:highlight w:val="none"/>
        </w:rPr>
      </w:pPr>
      <w:bookmarkStart w:id="23" w:name="_Toc10141"/>
      <w:r>
        <w:rPr>
          <w:rStyle w:val="15"/>
          <w:rFonts w:hint="eastAsia" w:ascii="仿宋" w:hAnsi="仿宋" w:eastAsia="仿宋" w:cs="仿宋"/>
          <w:color w:val="404040"/>
          <w:sz w:val="32"/>
          <w:highlight w:val="none"/>
        </w:rPr>
        <w:t>服务费支付方式：</w:t>
      </w:r>
      <w:r>
        <w:rPr>
          <w:rFonts w:hint="eastAsia" w:ascii="仿宋" w:hAnsi="仿宋" w:eastAsia="仿宋" w:cs="仿宋"/>
          <w:color w:val="404040"/>
          <w:sz w:val="32"/>
          <w:highlight w:val="none"/>
        </w:rPr>
        <w:t>在合同有效期内，法律顾问服务费用以中标人年度报价为准（该费用为含税价），每年度法律顾问服务费用分两次支付，首次支付按照法律服务协议约定时间支付，支付比例为年度法律服务费总额的80%，剩余20%根据年度考核结果按标准支付（考核结果为合格的，全额支付，考核结果为不合格的，支付剩余部分80%）。上年度考核为不合格的，公司有权终止合同，不再支付下一年度费用。</w:t>
      </w:r>
      <w:bookmarkEnd w:id="23"/>
    </w:p>
    <w:p>
      <w:pPr>
        <w:pStyle w:val="12"/>
        <w:tabs>
          <w:tab w:val="left" w:pos="420"/>
        </w:tabs>
        <w:spacing w:before="120" w:beforeAutospacing="0" w:after="0" w:afterAutospacing="0" w:line="460" w:lineRule="exact"/>
        <w:ind w:firstLine="640" w:firstLineChars="200"/>
        <w:outlineLvl w:val="2"/>
        <w:rPr>
          <w:rFonts w:ascii="仿宋" w:hAnsi="仿宋" w:eastAsia="仿宋" w:cs="仿宋"/>
          <w:sz w:val="32"/>
          <w:highlight w:val="none"/>
        </w:rPr>
      </w:pPr>
      <w:r>
        <w:rPr>
          <w:rFonts w:hint="eastAsia" w:ascii="仿宋" w:hAnsi="仿宋" w:eastAsia="仿宋" w:cs="仿宋"/>
          <w:color w:val="404040"/>
          <w:sz w:val="32"/>
          <w:highlight w:val="none"/>
        </w:rPr>
        <w:t>注：第一年法律顾问服务费用为：中标人报价扣减招标人与中标人签署法律服务协议时招标人所属一家公司所聘法律顾问剩余服务期限所对应法律服务费之后的金额。</w:t>
      </w:r>
    </w:p>
    <w:p>
      <w:pPr>
        <w:pStyle w:val="12"/>
        <w:numPr>
          <w:ilvl w:val="0"/>
          <w:numId w:val="8"/>
        </w:numPr>
        <w:spacing w:before="120" w:beforeAutospacing="0" w:after="0" w:afterAutospacing="0" w:line="460" w:lineRule="exact"/>
        <w:ind w:firstLine="643" w:firstLineChars="200"/>
        <w:jc w:val="both"/>
        <w:outlineLvl w:val="0"/>
        <w:rPr>
          <w:rFonts w:ascii="黑体" w:hAnsi="黑体" w:eastAsia="黑体" w:cs="黑体"/>
          <w:sz w:val="32"/>
          <w:highlight w:val="none"/>
        </w:rPr>
      </w:pPr>
      <w:bookmarkStart w:id="24" w:name="_Toc2541"/>
      <w:bookmarkStart w:id="25" w:name="_Toc22189"/>
      <w:r>
        <w:rPr>
          <w:rStyle w:val="15"/>
          <w:rFonts w:hint="eastAsia" w:ascii="黑体" w:hAnsi="黑体" w:eastAsia="黑体" w:cs="黑体"/>
          <w:sz w:val="32"/>
          <w:highlight w:val="none"/>
        </w:rPr>
        <w:t>资格条件</w:t>
      </w:r>
      <w:bookmarkEnd w:id="24"/>
      <w:bookmarkEnd w:id="25"/>
    </w:p>
    <w:p>
      <w:pPr>
        <w:pStyle w:val="12"/>
        <w:spacing w:before="120" w:beforeAutospacing="0" w:after="0" w:afterAutospacing="0" w:line="460" w:lineRule="exact"/>
        <w:ind w:firstLine="480"/>
        <w:rPr>
          <w:rFonts w:ascii="仿宋" w:hAnsi="仿宋" w:eastAsia="仿宋" w:cs="仿宋"/>
          <w:sz w:val="32"/>
          <w:highlight w:val="none"/>
        </w:rPr>
      </w:pPr>
      <w:r>
        <w:rPr>
          <w:rFonts w:hint="eastAsia" w:ascii="仿宋" w:hAnsi="仿宋" w:eastAsia="仿宋" w:cs="仿宋"/>
          <w:color w:val="404040"/>
          <w:sz w:val="32"/>
          <w:highlight w:val="none"/>
        </w:rPr>
        <w:t>1、投标律所依照《中华人民共和国律师法》设立，经司法部门批准成立3年以上（含3年）；</w:t>
      </w:r>
    </w:p>
    <w:p>
      <w:pPr>
        <w:pStyle w:val="12"/>
        <w:spacing w:before="120" w:beforeAutospacing="0" w:after="0" w:afterAutospacing="0" w:line="460" w:lineRule="exact"/>
        <w:ind w:firstLine="480"/>
        <w:rPr>
          <w:rFonts w:ascii="仿宋" w:hAnsi="仿宋" w:eastAsia="仿宋" w:cs="仿宋"/>
          <w:sz w:val="32"/>
          <w:highlight w:val="none"/>
        </w:rPr>
      </w:pPr>
      <w:r>
        <w:rPr>
          <w:rFonts w:hint="eastAsia" w:ascii="仿宋" w:hAnsi="仿宋" w:eastAsia="仿宋" w:cs="仿宋"/>
          <w:color w:val="404040"/>
          <w:sz w:val="32"/>
          <w:highlight w:val="none"/>
        </w:rPr>
        <w:t>2、投标律所近三年无不良执业记录，律所及主要合伙人近三年没有受过行政处罚；</w:t>
      </w:r>
    </w:p>
    <w:p>
      <w:pPr>
        <w:pStyle w:val="12"/>
        <w:spacing w:before="120" w:beforeAutospacing="0" w:after="0" w:afterAutospacing="0" w:line="460" w:lineRule="exact"/>
        <w:ind w:firstLine="480"/>
        <w:rPr>
          <w:rFonts w:ascii="仿宋" w:hAnsi="仿宋" w:eastAsia="仿宋" w:cs="仿宋"/>
          <w:sz w:val="32"/>
          <w:highlight w:val="none"/>
        </w:rPr>
      </w:pPr>
      <w:r>
        <w:rPr>
          <w:rFonts w:hint="eastAsia" w:ascii="仿宋" w:hAnsi="仿宋" w:eastAsia="仿宋" w:cs="仿宋"/>
          <w:color w:val="404040"/>
          <w:sz w:val="32"/>
          <w:highlight w:val="none"/>
        </w:rPr>
        <w:t>3、投标律所的专职律师不少于30人；</w:t>
      </w:r>
    </w:p>
    <w:p>
      <w:pPr>
        <w:pStyle w:val="12"/>
        <w:spacing w:before="120" w:beforeAutospacing="0" w:after="0" w:afterAutospacing="0" w:line="460" w:lineRule="exact"/>
        <w:ind w:firstLine="480"/>
        <w:rPr>
          <w:rFonts w:ascii="仿宋" w:hAnsi="仿宋" w:eastAsia="仿宋" w:cs="仿宋"/>
          <w:sz w:val="32"/>
          <w:highlight w:val="none"/>
        </w:rPr>
      </w:pPr>
      <w:r>
        <w:rPr>
          <w:rFonts w:hint="eastAsia" w:ascii="仿宋" w:hAnsi="仿宋" w:eastAsia="仿宋" w:cs="仿宋"/>
          <w:color w:val="404040"/>
          <w:sz w:val="32"/>
          <w:highlight w:val="none"/>
        </w:rPr>
        <w:t>4、投标律所近三年担任国有企业、政府机关的法律顾问的业绩；</w:t>
      </w:r>
    </w:p>
    <w:p>
      <w:pPr>
        <w:pStyle w:val="12"/>
        <w:spacing w:before="120" w:beforeAutospacing="0" w:after="0" w:afterAutospacing="0" w:line="460" w:lineRule="exact"/>
        <w:ind w:firstLine="480"/>
        <w:rPr>
          <w:rFonts w:ascii="仿宋" w:hAnsi="仿宋" w:eastAsia="仿宋" w:cs="仿宋"/>
          <w:color w:val="404040"/>
          <w:sz w:val="32"/>
          <w:highlight w:val="none"/>
        </w:rPr>
      </w:pPr>
      <w:r>
        <w:rPr>
          <w:rFonts w:hint="eastAsia" w:ascii="仿宋" w:hAnsi="仿宋" w:eastAsia="仿宋" w:cs="仿宋"/>
          <w:color w:val="404040"/>
          <w:sz w:val="32"/>
          <w:highlight w:val="none"/>
        </w:rPr>
        <w:t>5、投标律所擅长处理企业投资并购、工程建设及与公司法、合同法、招投标法、企业国有资产法等相关的法律事务；</w:t>
      </w:r>
    </w:p>
    <w:p>
      <w:pPr>
        <w:pStyle w:val="12"/>
        <w:spacing w:before="120" w:beforeAutospacing="0" w:after="0" w:afterAutospacing="0" w:line="460" w:lineRule="exact"/>
        <w:ind w:firstLine="480"/>
        <w:rPr>
          <w:rFonts w:ascii="仿宋" w:hAnsi="仿宋" w:eastAsia="仿宋" w:cs="仿宋"/>
          <w:sz w:val="32"/>
          <w:highlight w:val="none"/>
        </w:rPr>
      </w:pPr>
      <w:r>
        <w:rPr>
          <w:rFonts w:hint="eastAsia" w:ascii="仿宋" w:hAnsi="仿宋" w:eastAsia="仿宋" w:cs="仿宋"/>
          <w:color w:val="404040"/>
          <w:sz w:val="32"/>
          <w:highlight w:val="none"/>
        </w:rPr>
        <w:t>6、投标律所党组织建设完善，党建工作有成绩；。</w:t>
      </w:r>
    </w:p>
    <w:p>
      <w:pPr>
        <w:pStyle w:val="12"/>
        <w:spacing w:before="120" w:beforeAutospacing="0" w:after="0" w:afterAutospacing="0" w:line="460" w:lineRule="exact"/>
        <w:ind w:firstLine="480"/>
        <w:rPr>
          <w:rFonts w:ascii="仿宋" w:hAnsi="仿宋" w:eastAsia="仿宋" w:cs="仿宋"/>
          <w:sz w:val="32"/>
          <w:highlight w:val="none"/>
        </w:rPr>
      </w:pPr>
      <w:r>
        <w:rPr>
          <w:rFonts w:hint="eastAsia" w:ascii="仿宋" w:hAnsi="仿宋" w:eastAsia="仿宋" w:cs="仿宋"/>
          <w:color w:val="404040"/>
          <w:sz w:val="32"/>
          <w:highlight w:val="none"/>
        </w:rPr>
        <w:t>7、律师团队律师需为律所专职律师，执业时间5年以上（含5年）；</w:t>
      </w:r>
    </w:p>
    <w:p>
      <w:pPr>
        <w:pStyle w:val="12"/>
        <w:spacing w:before="120" w:beforeAutospacing="0" w:after="0" w:afterAutospacing="0" w:line="460" w:lineRule="exact"/>
        <w:ind w:firstLine="480"/>
        <w:rPr>
          <w:rFonts w:ascii="仿宋" w:hAnsi="仿宋" w:eastAsia="仿宋" w:cs="仿宋"/>
          <w:color w:val="404040"/>
          <w:sz w:val="32"/>
          <w:highlight w:val="none"/>
        </w:rPr>
      </w:pPr>
      <w:r>
        <w:rPr>
          <w:rFonts w:hint="eastAsia" w:ascii="仿宋" w:hAnsi="仿宋" w:eastAsia="仿宋" w:cs="仿宋"/>
          <w:color w:val="404040"/>
          <w:sz w:val="32"/>
          <w:highlight w:val="none"/>
        </w:rPr>
        <w:t>8、律师团队律师必须有近三年为国有企业、政府机关提供法律顾问服务的经历。</w:t>
      </w:r>
    </w:p>
    <w:p>
      <w:pPr>
        <w:pStyle w:val="12"/>
        <w:spacing w:before="120" w:beforeAutospacing="0" w:after="0" w:afterAutospacing="0" w:line="460" w:lineRule="exact"/>
        <w:ind w:firstLine="480"/>
        <w:rPr>
          <w:rFonts w:ascii="仿宋" w:hAnsi="仿宋" w:eastAsia="仿宋" w:cs="仿宋"/>
          <w:color w:val="404040"/>
          <w:sz w:val="32"/>
          <w:highlight w:val="none"/>
        </w:rPr>
      </w:pPr>
      <w:r>
        <w:rPr>
          <w:rFonts w:hint="eastAsia" w:ascii="仿宋" w:hAnsi="仿宋" w:eastAsia="仿宋" w:cs="仿宋"/>
          <w:color w:val="404040"/>
          <w:sz w:val="32"/>
          <w:highlight w:val="none"/>
        </w:rPr>
        <w:t>注：以上证明材料均须携带原件，其中涉及到业绩方面的材料至少须提供一份原件以供资格性审查，任意一项不满足则为无效投标文件。</w:t>
      </w:r>
    </w:p>
    <w:p>
      <w:pPr>
        <w:pStyle w:val="12"/>
        <w:numPr>
          <w:ilvl w:val="0"/>
          <w:numId w:val="9"/>
        </w:numPr>
        <w:spacing w:before="120" w:beforeAutospacing="0" w:after="0" w:afterAutospacing="0" w:line="460" w:lineRule="exact"/>
        <w:ind w:firstLine="643" w:firstLineChars="200"/>
        <w:outlineLvl w:val="0"/>
        <w:rPr>
          <w:rFonts w:ascii="黑体" w:hAnsi="黑体" w:eastAsia="黑体" w:cs="黑体"/>
          <w:sz w:val="32"/>
          <w:highlight w:val="none"/>
        </w:rPr>
      </w:pPr>
      <w:bookmarkStart w:id="26" w:name="_Toc19109"/>
      <w:bookmarkStart w:id="27" w:name="_Toc2372"/>
      <w:r>
        <w:rPr>
          <w:rStyle w:val="15"/>
          <w:rFonts w:hint="eastAsia" w:ascii="黑体" w:hAnsi="黑体" w:eastAsia="黑体" w:cs="黑体"/>
          <w:color w:val="404040"/>
          <w:sz w:val="32"/>
          <w:highlight w:val="none"/>
        </w:rPr>
        <w:t>投标程序</w:t>
      </w:r>
      <w:bookmarkEnd w:id="26"/>
      <w:bookmarkEnd w:id="27"/>
    </w:p>
    <w:p>
      <w:pPr>
        <w:pStyle w:val="12"/>
        <w:numPr>
          <w:ilvl w:val="0"/>
          <w:numId w:val="10"/>
        </w:numPr>
        <w:spacing w:before="120" w:beforeAutospacing="0" w:after="0" w:afterAutospacing="0" w:line="460" w:lineRule="exact"/>
        <w:ind w:firstLine="480"/>
        <w:rPr>
          <w:rFonts w:ascii="仿宋" w:hAnsi="仿宋" w:eastAsia="仿宋" w:cs="仿宋"/>
          <w:color w:val="404040"/>
          <w:sz w:val="32"/>
          <w:highlight w:val="none"/>
        </w:rPr>
      </w:pPr>
      <w:r>
        <w:rPr>
          <w:rFonts w:hint="eastAsia" w:ascii="仿宋" w:hAnsi="仿宋" w:eastAsia="仿宋" w:cs="仿宋"/>
          <w:color w:val="404040"/>
          <w:sz w:val="32"/>
          <w:highlight w:val="none"/>
        </w:rPr>
        <w:t>投标人登陆武汉生态环境设计研究院有限公司官方网站</w:t>
      </w:r>
      <w:r>
        <w:rPr>
          <w:rFonts w:hint="eastAsia" w:ascii="仿宋" w:hAnsi="仿宋" w:eastAsia="仿宋" w:cs="仿宋"/>
          <w:sz w:val="32"/>
          <w:highlight w:val="none"/>
        </w:rPr>
        <w:t>（http://whsthjsjy.com/）</w:t>
      </w:r>
      <w:r>
        <w:rPr>
          <w:rFonts w:hint="eastAsia" w:ascii="仿宋" w:hAnsi="仿宋" w:eastAsia="仿宋" w:cs="仿宋"/>
          <w:color w:val="404040"/>
          <w:sz w:val="32"/>
          <w:highlight w:val="none"/>
        </w:rPr>
        <w:t>，认真阅读“公告”。</w:t>
      </w:r>
    </w:p>
    <w:p>
      <w:pPr>
        <w:pStyle w:val="12"/>
        <w:numPr>
          <w:ilvl w:val="0"/>
          <w:numId w:val="10"/>
        </w:numPr>
        <w:spacing w:before="120" w:beforeAutospacing="0" w:after="0" w:afterAutospacing="0" w:line="460" w:lineRule="exact"/>
        <w:ind w:firstLine="480"/>
        <w:rPr>
          <w:rFonts w:ascii="仿宋" w:hAnsi="仿宋" w:eastAsia="仿宋" w:cs="仿宋"/>
          <w:sz w:val="32"/>
          <w:highlight w:val="none"/>
        </w:rPr>
      </w:pPr>
      <w:r>
        <w:rPr>
          <w:rFonts w:hint="eastAsia" w:ascii="仿宋" w:hAnsi="仿宋" w:eastAsia="仿宋" w:cs="仿宋"/>
          <w:sz w:val="32"/>
          <w:highlight w:val="none"/>
        </w:rPr>
        <w:t>投标单位按照公告及招标文件要求，</w:t>
      </w:r>
      <w:r>
        <w:rPr>
          <w:rFonts w:hint="eastAsia" w:ascii="仿宋" w:hAnsi="仿宋" w:eastAsia="仿宋" w:cs="仿宋"/>
          <w:color w:val="404040"/>
          <w:sz w:val="32"/>
          <w:highlight w:val="none"/>
        </w:rPr>
        <w:t>制作投标文件。开标日期为2022年8月</w:t>
      </w:r>
      <w:bookmarkStart w:id="137" w:name="_GoBack"/>
      <w:bookmarkEnd w:id="137"/>
      <w:r>
        <w:rPr>
          <w:rFonts w:hint="eastAsia" w:ascii="仿宋" w:hAnsi="仿宋" w:eastAsia="仿宋" w:cs="仿宋"/>
          <w:color w:val="404040"/>
          <w:sz w:val="32"/>
          <w:highlight w:val="none"/>
          <w:lang w:val="en-US" w:eastAsia="zh-CN"/>
        </w:rPr>
        <w:t>29</w:t>
      </w:r>
      <w:r>
        <w:rPr>
          <w:rFonts w:hint="eastAsia" w:ascii="仿宋" w:hAnsi="仿宋" w:eastAsia="仿宋" w:cs="仿宋"/>
          <w:color w:val="404040"/>
          <w:sz w:val="32"/>
          <w:highlight w:val="none"/>
        </w:rPr>
        <w:t>日上午9时30分，届时务必携带相关文件到武汉市汉阳区华发国际企业大厦2310会议室参加开标会</w:t>
      </w:r>
      <w:r>
        <w:rPr>
          <w:rFonts w:hint="eastAsia" w:ascii="仿宋" w:hAnsi="仿宋" w:eastAsia="仿宋" w:cs="仿宋"/>
          <w:sz w:val="32"/>
          <w:highlight w:val="none"/>
        </w:rPr>
        <w:t>。</w:t>
      </w:r>
    </w:p>
    <w:p>
      <w:pPr>
        <w:pStyle w:val="12"/>
        <w:numPr>
          <w:ilvl w:val="0"/>
          <w:numId w:val="10"/>
        </w:numPr>
        <w:spacing w:before="120" w:beforeAutospacing="0" w:after="0" w:afterAutospacing="0" w:line="460" w:lineRule="exact"/>
        <w:ind w:firstLine="480"/>
        <w:rPr>
          <w:rFonts w:ascii="仿宋" w:hAnsi="仿宋" w:eastAsia="仿宋" w:cs="仿宋"/>
          <w:sz w:val="32"/>
          <w:highlight w:val="none"/>
        </w:rPr>
      </w:pPr>
      <w:r>
        <w:rPr>
          <w:rFonts w:hint="eastAsia" w:ascii="仿宋" w:hAnsi="仿宋" w:eastAsia="仿宋" w:cs="仿宋"/>
          <w:sz w:val="32"/>
          <w:highlight w:val="none"/>
        </w:rPr>
        <w:t>招标人联系信息：</w:t>
      </w:r>
    </w:p>
    <w:p>
      <w:pPr>
        <w:pStyle w:val="12"/>
        <w:spacing w:before="120" w:line="46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名称：武汉生态环境设计研究院有限公司</w:t>
      </w:r>
    </w:p>
    <w:p>
      <w:pPr>
        <w:pStyle w:val="12"/>
        <w:spacing w:before="120" w:line="46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地址：武汉市汉阳区华发国际企业大厦</w:t>
      </w:r>
    </w:p>
    <w:p>
      <w:pPr>
        <w:pStyle w:val="12"/>
        <w:spacing w:before="120" w:line="46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联系人：王怡人</w:t>
      </w:r>
    </w:p>
    <w:p>
      <w:pPr>
        <w:pStyle w:val="12"/>
        <w:spacing w:before="120" w:beforeAutospacing="0" w:after="0" w:afterAutospacing="0" w:line="460" w:lineRule="exact"/>
        <w:ind w:firstLine="640" w:firstLineChars="200"/>
        <w:rPr>
          <w:rFonts w:hint="eastAsia" w:ascii="仿宋" w:hAnsi="仿宋" w:eastAsia="仿宋" w:cs="仿宋"/>
          <w:sz w:val="32"/>
          <w:highlight w:val="none"/>
          <w:lang w:val="en-US" w:eastAsia="zh-CN"/>
        </w:rPr>
      </w:pPr>
      <w:r>
        <w:rPr>
          <w:rFonts w:hint="eastAsia" w:ascii="仿宋" w:hAnsi="仿宋" w:eastAsia="仿宋" w:cs="仿宋"/>
          <w:sz w:val="32"/>
          <w:highlight w:val="none"/>
        </w:rPr>
        <w:t>联系方式：15927073681     027-8562987</w:t>
      </w:r>
      <w:r>
        <w:rPr>
          <w:rFonts w:hint="eastAsia" w:ascii="仿宋" w:hAnsi="仿宋" w:eastAsia="仿宋" w:cs="仿宋"/>
          <w:sz w:val="32"/>
          <w:highlight w:val="none"/>
          <w:lang w:val="en-US" w:eastAsia="zh-CN"/>
        </w:rPr>
        <w:t>5</w:t>
      </w:r>
    </w:p>
    <w:p>
      <w:pPr>
        <w:pStyle w:val="12"/>
        <w:spacing w:before="120" w:beforeAutospacing="0" w:after="0" w:afterAutospacing="0" w:line="460" w:lineRule="exact"/>
        <w:ind w:firstLine="640" w:firstLineChars="200"/>
        <w:rPr>
          <w:rFonts w:ascii="仿宋" w:hAnsi="仿宋" w:eastAsia="仿宋" w:cs="仿宋"/>
          <w:color w:val="404040"/>
          <w:sz w:val="32"/>
          <w:highlight w:val="none"/>
        </w:rPr>
      </w:pPr>
    </w:p>
    <w:p>
      <w:pPr>
        <w:pStyle w:val="12"/>
        <w:spacing w:before="120" w:beforeAutospacing="0" w:after="0" w:afterAutospacing="0" w:line="460" w:lineRule="exact"/>
        <w:ind w:firstLine="640" w:firstLineChars="200"/>
        <w:rPr>
          <w:rFonts w:ascii="仿宋" w:hAnsi="仿宋" w:eastAsia="仿宋" w:cs="仿宋"/>
          <w:color w:val="404040"/>
          <w:sz w:val="32"/>
          <w:highlight w:val="none"/>
        </w:rPr>
      </w:pPr>
      <w:r>
        <w:rPr>
          <w:rFonts w:hint="eastAsia" w:ascii="仿宋" w:hAnsi="仿宋" w:eastAsia="仿宋" w:cs="仿宋"/>
          <w:color w:val="404040"/>
          <w:sz w:val="32"/>
          <w:highlight w:val="none"/>
        </w:rPr>
        <w:t>注：法律顾问实行聘任制，期满没有续聘者视为自动解除聘任关系。</w:t>
      </w:r>
    </w:p>
    <w:p>
      <w:pPr>
        <w:pStyle w:val="3"/>
        <w:spacing w:line="400" w:lineRule="exact"/>
        <w:jc w:val="center"/>
        <w:rPr>
          <w:rFonts w:hint="eastAsia" w:ascii="方正小标宋简体" w:hAnsi="方正小标宋简体" w:eastAsia="方正小标宋简体" w:cs="方正小标宋简体"/>
          <w:sz w:val="44"/>
          <w:szCs w:val="32"/>
          <w:highlight w:val="none"/>
        </w:rPr>
      </w:pPr>
      <w:bookmarkStart w:id="28" w:name="_Toc16147"/>
      <w:bookmarkStart w:id="29" w:name="_Toc11267"/>
      <w:bookmarkStart w:id="30" w:name="_Toc19526"/>
      <w:bookmarkStart w:id="31" w:name="_Toc32525"/>
      <w:bookmarkStart w:id="32" w:name="_Toc19702"/>
    </w:p>
    <w:p>
      <w:pPr>
        <w:pStyle w:val="3"/>
        <w:spacing w:line="400" w:lineRule="exact"/>
        <w:jc w:val="center"/>
        <w:rPr>
          <w:rFonts w:ascii="仿宋" w:hAnsi="仿宋" w:eastAsia="仿宋" w:cs="仿宋"/>
          <w:color w:val="404040"/>
          <w:szCs w:val="24"/>
          <w:highlight w:val="none"/>
        </w:rPr>
      </w:pPr>
      <w:r>
        <w:rPr>
          <w:rFonts w:hint="eastAsia" w:ascii="方正小标宋简体" w:hAnsi="方正小标宋简体" w:eastAsia="方正小标宋简体" w:cs="方正小标宋简体"/>
          <w:sz w:val="44"/>
          <w:szCs w:val="32"/>
          <w:highlight w:val="none"/>
        </w:rPr>
        <w:t>第二章、投标人须</w:t>
      </w:r>
      <w:bookmarkEnd w:id="28"/>
      <w:bookmarkEnd w:id="29"/>
      <w:r>
        <w:rPr>
          <w:rFonts w:hint="eastAsia" w:ascii="方正小标宋简体" w:hAnsi="方正小标宋简体" w:eastAsia="方正小标宋简体" w:cs="方正小标宋简体"/>
          <w:sz w:val="44"/>
          <w:szCs w:val="32"/>
          <w:highlight w:val="none"/>
        </w:rPr>
        <w:t>知</w:t>
      </w:r>
      <w:bookmarkEnd w:id="30"/>
      <w:bookmarkEnd w:id="31"/>
      <w:bookmarkEnd w:id="32"/>
    </w:p>
    <w:p>
      <w:pPr>
        <w:jc w:val="center"/>
        <w:rPr>
          <w:rFonts w:ascii="仿宋" w:hAnsi="仿宋" w:eastAsia="仿宋" w:cs="仿宋"/>
          <w:b/>
          <w:bCs/>
          <w:sz w:val="32"/>
          <w:highlight w:val="none"/>
        </w:rPr>
      </w:pPr>
      <w:bookmarkStart w:id="33" w:name="_Toc477965458"/>
      <w:bookmarkStart w:id="34" w:name="_Toc477965447"/>
      <w:bookmarkStart w:id="35" w:name="_Toc385854838"/>
      <w:r>
        <w:rPr>
          <w:rFonts w:hint="eastAsia" w:ascii="仿宋" w:hAnsi="仿宋" w:cs="仿宋"/>
          <w:b/>
          <w:bCs/>
          <w:sz w:val="32"/>
          <w:highlight w:val="none"/>
        </w:rPr>
        <w:t>投标人</w:t>
      </w:r>
      <w:r>
        <w:rPr>
          <w:rFonts w:hint="eastAsia" w:ascii="仿宋" w:hAnsi="仿宋" w:eastAsia="仿宋" w:cs="仿宋"/>
          <w:b/>
          <w:bCs/>
          <w:sz w:val="32"/>
          <w:highlight w:val="none"/>
        </w:rPr>
        <w:t>须知</w:t>
      </w:r>
      <w:bookmarkEnd w:id="33"/>
      <w:bookmarkEnd w:id="34"/>
      <w:bookmarkEnd w:id="35"/>
      <w:r>
        <w:rPr>
          <w:rFonts w:hint="eastAsia" w:ascii="仿宋" w:hAnsi="仿宋" w:cs="仿宋"/>
          <w:b/>
          <w:bCs/>
          <w:sz w:val="32"/>
          <w:highlight w:val="none"/>
        </w:rPr>
        <w:t>前附</w:t>
      </w:r>
      <w:r>
        <w:rPr>
          <w:rFonts w:hint="eastAsia" w:ascii="仿宋" w:hAnsi="仿宋" w:eastAsia="仿宋" w:cs="仿宋"/>
          <w:b/>
          <w:bCs/>
          <w:sz w:val="32"/>
          <w:highlight w:val="none"/>
        </w:rPr>
        <w:t>表</w:t>
      </w:r>
    </w:p>
    <w:p>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供应商应仔细阅读本招标文件的第二章“供应商须知”，下面所列资料是对“供应商须知”的具体补充和说明。如有矛盾，应以本表为准。</w:t>
      </w:r>
    </w:p>
    <w:tbl>
      <w:tblPr>
        <w:tblStyle w:val="13"/>
        <w:tblW w:w="8913" w:type="dxa"/>
        <w:tblInd w:w="0" w:type="dxa"/>
        <w:tblLayout w:type="fixed"/>
        <w:tblCellMar>
          <w:top w:w="0" w:type="dxa"/>
          <w:left w:w="0" w:type="dxa"/>
          <w:bottom w:w="0" w:type="dxa"/>
          <w:right w:w="0" w:type="dxa"/>
        </w:tblCellMar>
      </w:tblPr>
      <w:tblGrid>
        <w:gridCol w:w="3055"/>
        <w:gridCol w:w="5858"/>
      </w:tblGrid>
      <w:tr>
        <w:tblPrEx>
          <w:tblCellMar>
            <w:top w:w="0" w:type="dxa"/>
            <w:left w:w="0" w:type="dxa"/>
            <w:bottom w:w="0" w:type="dxa"/>
            <w:right w:w="0" w:type="dxa"/>
          </w:tblCellMar>
        </w:tblPrEx>
        <w:trPr>
          <w:trHeight w:val="622" w:hRule="atLeast"/>
        </w:trPr>
        <w:tc>
          <w:tcPr>
            <w:tcW w:w="30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highlight w:val="none"/>
              </w:rPr>
            </w:pPr>
            <w:bookmarkStart w:id="36" w:name="_Toc12518"/>
            <w:r>
              <w:rPr>
                <w:rFonts w:hint="eastAsia" w:ascii="仿宋" w:hAnsi="仿宋" w:eastAsia="仿宋" w:cs="仿宋"/>
                <w:b/>
                <w:bCs/>
                <w:color w:val="000000"/>
                <w:sz w:val="24"/>
                <w:highlight w:val="none"/>
                <w:lang w:bidi="ar"/>
              </w:rPr>
              <w:t>内容</w:t>
            </w:r>
          </w:p>
        </w:tc>
        <w:tc>
          <w:tcPr>
            <w:tcW w:w="58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lang w:bidi="ar"/>
              </w:rPr>
              <w:t>说明与要求</w:t>
            </w:r>
          </w:p>
        </w:tc>
      </w:tr>
      <w:tr>
        <w:tblPrEx>
          <w:tblCellMar>
            <w:top w:w="0" w:type="dxa"/>
            <w:left w:w="0" w:type="dxa"/>
            <w:bottom w:w="0" w:type="dxa"/>
            <w:right w:w="0" w:type="dxa"/>
          </w:tblCellMar>
        </w:tblPrEx>
        <w:trPr>
          <w:trHeight w:val="636" w:hRule="atLeast"/>
        </w:trPr>
        <w:tc>
          <w:tcPr>
            <w:tcW w:w="30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项目名称</w:t>
            </w:r>
          </w:p>
        </w:tc>
        <w:tc>
          <w:tcPr>
            <w:tcW w:w="58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武汉生态环境设计研究院有限公司2022-2024年度常年法律顾问公开招标项目（第二次）</w:t>
            </w:r>
          </w:p>
        </w:tc>
      </w:tr>
      <w:tr>
        <w:tblPrEx>
          <w:tblCellMar>
            <w:top w:w="0" w:type="dxa"/>
            <w:left w:w="0" w:type="dxa"/>
            <w:bottom w:w="0" w:type="dxa"/>
            <w:right w:w="0" w:type="dxa"/>
          </w:tblCellMar>
        </w:tblPrEx>
        <w:trPr>
          <w:trHeight w:val="622" w:hRule="atLeast"/>
        </w:trPr>
        <w:tc>
          <w:tcPr>
            <w:tcW w:w="30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采购内容</w:t>
            </w:r>
          </w:p>
        </w:tc>
        <w:tc>
          <w:tcPr>
            <w:tcW w:w="58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详见第一章“服务内容”</w:t>
            </w:r>
          </w:p>
        </w:tc>
      </w:tr>
      <w:tr>
        <w:tblPrEx>
          <w:tblCellMar>
            <w:top w:w="0" w:type="dxa"/>
            <w:left w:w="0" w:type="dxa"/>
            <w:bottom w:w="0" w:type="dxa"/>
            <w:right w:w="0" w:type="dxa"/>
          </w:tblCellMar>
        </w:tblPrEx>
        <w:trPr>
          <w:trHeight w:val="622" w:hRule="atLeast"/>
        </w:trPr>
        <w:tc>
          <w:tcPr>
            <w:tcW w:w="30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投标货币</w:t>
            </w:r>
          </w:p>
        </w:tc>
        <w:tc>
          <w:tcPr>
            <w:tcW w:w="58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人民币</w:t>
            </w:r>
          </w:p>
        </w:tc>
      </w:tr>
      <w:tr>
        <w:tblPrEx>
          <w:tblCellMar>
            <w:top w:w="0" w:type="dxa"/>
            <w:left w:w="0" w:type="dxa"/>
            <w:bottom w:w="0" w:type="dxa"/>
            <w:right w:w="0" w:type="dxa"/>
          </w:tblCellMar>
        </w:tblPrEx>
        <w:trPr>
          <w:trHeight w:val="622" w:hRule="atLeast"/>
        </w:trPr>
        <w:tc>
          <w:tcPr>
            <w:tcW w:w="30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资质要求</w:t>
            </w:r>
          </w:p>
        </w:tc>
        <w:tc>
          <w:tcPr>
            <w:tcW w:w="58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详见第一章</w:t>
            </w:r>
          </w:p>
        </w:tc>
      </w:tr>
      <w:tr>
        <w:tblPrEx>
          <w:tblCellMar>
            <w:top w:w="0" w:type="dxa"/>
            <w:left w:w="0" w:type="dxa"/>
            <w:bottom w:w="0" w:type="dxa"/>
            <w:right w:w="0" w:type="dxa"/>
          </w:tblCellMar>
        </w:tblPrEx>
        <w:trPr>
          <w:trHeight w:val="1406" w:hRule="atLeast"/>
        </w:trPr>
        <w:tc>
          <w:tcPr>
            <w:tcW w:w="30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投标文件份数</w:t>
            </w:r>
          </w:p>
        </w:tc>
        <w:tc>
          <w:tcPr>
            <w:tcW w:w="585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文本一式三份。正本（彩色）一份，副本一份，正、副本均需双面打印；电子版一份（提供正本的电子版本（PDF）格式存储在U盘内，无需盖章）</w:t>
            </w:r>
          </w:p>
        </w:tc>
      </w:tr>
      <w:tr>
        <w:tblPrEx>
          <w:tblCellMar>
            <w:top w:w="0" w:type="dxa"/>
            <w:left w:w="0" w:type="dxa"/>
            <w:bottom w:w="0" w:type="dxa"/>
            <w:right w:w="0" w:type="dxa"/>
          </w:tblCellMar>
        </w:tblPrEx>
        <w:trPr>
          <w:trHeight w:val="725" w:hRule="atLeast"/>
        </w:trPr>
        <w:tc>
          <w:tcPr>
            <w:tcW w:w="30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投标文件递交地点</w:t>
            </w:r>
          </w:p>
        </w:tc>
        <w:tc>
          <w:tcPr>
            <w:tcW w:w="585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textAlignment w:val="center"/>
              <w:rPr>
                <w:rFonts w:ascii="仿宋" w:hAnsi="仿宋" w:eastAsia="仿宋" w:cs="仿宋"/>
                <w:color w:val="000000"/>
                <w:sz w:val="24"/>
                <w:highlight w:val="none"/>
              </w:rPr>
            </w:pPr>
            <w:r>
              <w:rPr>
                <w:rFonts w:hint="eastAsia" w:ascii="仿宋" w:hAnsi="仿宋" w:eastAsia="仿宋" w:cs="仿宋"/>
                <w:sz w:val="24"/>
                <w:highlight w:val="none"/>
              </w:rPr>
              <w:t>武</w:t>
            </w:r>
            <w:r>
              <w:rPr>
                <w:rFonts w:hint="eastAsia" w:ascii="仿宋" w:hAnsi="仿宋" w:eastAsia="仿宋" w:cs="仿宋"/>
                <w:color w:val="000000"/>
                <w:sz w:val="24"/>
                <w:highlight w:val="none"/>
                <w:lang w:bidi="ar"/>
              </w:rPr>
              <w:t>汉市汉阳区华发国际企业大厦23楼会议室</w:t>
            </w:r>
          </w:p>
        </w:tc>
      </w:tr>
      <w:tr>
        <w:tblPrEx>
          <w:tblCellMar>
            <w:top w:w="0" w:type="dxa"/>
            <w:left w:w="0" w:type="dxa"/>
            <w:bottom w:w="0" w:type="dxa"/>
            <w:right w:w="0" w:type="dxa"/>
          </w:tblCellMar>
        </w:tblPrEx>
        <w:trPr>
          <w:trHeight w:val="622" w:hRule="atLeast"/>
        </w:trPr>
        <w:tc>
          <w:tcPr>
            <w:tcW w:w="30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投标文件递交截止时间</w:t>
            </w:r>
          </w:p>
        </w:tc>
        <w:tc>
          <w:tcPr>
            <w:tcW w:w="585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textAlignment w:val="center"/>
              <w:rPr>
                <w:rFonts w:ascii="仿宋" w:hAnsi="仿宋" w:eastAsia="仿宋" w:cs="仿宋"/>
                <w:color w:val="000000"/>
                <w:sz w:val="24"/>
                <w:highlight w:val="none"/>
              </w:rPr>
            </w:pPr>
            <w:r>
              <w:rPr>
                <w:rFonts w:hint="eastAsia" w:ascii="仿宋" w:hAnsi="仿宋" w:eastAsia="仿宋" w:cs="仿宋"/>
                <w:sz w:val="24"/>
                <w:highlight w:val="none"/>
                <w:u w:val="single"/>
              </w:rPr>
              <w:t>2022</w:t>
            </w:r>
            <w:r>
              <w:rPr>
                <w:rFonts w:hint="eastAsia" w:ascii="仿宋" w:hAnsi="仿宋" w:eastAsia="仿宋" w:cs="仿宋"/>
                <w:sz w:val="24"/>
                <w:highlight w:val="none"/>
              </w:rPr>
              <w:t>年</w:t>
            </w:r>
            <w:r>
              <w:rPr>
                <w:rFonts w:hint="eastAsia" w:ascii="仿宋" w:hAnsi="仿宋" w:eastAsia="仿宋" w:cs="仿宋"/>
                <w:sz w:val="24"/>
                <w:highlight w:val="none"/>
                <w:u w:val="single"/>
              </w:rPr>
              <w:t>8</w:t>
            </w:r>
            <w:r>
              <w:rPr>
                <w:rFonts w:hint="eastAsia" w:ascii="仿宋" w:hAnsi="仿宋" w:eastAsia="仿宋" w:cs="仿宋"/>
                <w:sz w:val="24"/>
                <w:highlight w:val="none"/>
              </w:rPr>
              <w:t>月</w:t>
            </w:r>
            <w:r>
              <w:rPr>
                <w:rFonts w:hint="eastAsia" w:ascii="仿宋" w:hAnsi="仿宋" w:eastAsia="仿宋" w:cs="仿宋"/>
                <w:sz w:val="24"/>
                <w:highlight w:val="none"/>
                <w:u w:val="single"/>
                <w:lang w:val="en-US" w:eastAsia="zh-CN"/>
              </w:rPr>
              <w:t>29</w:t>
            </w:r>
            <w:r>
              <w:rPr>
                <w:rFonts w:hint="eastAsia" w:ascii="仿宋" w:hAnsi="仿宋" w:eastAsia="仿宋" w:cs="仿宋"/>
                <w:sz w:val="24"/>
                <w:highlight w:val="none"/>
              </w:rPr>
              <w:t>日</w:t>
            </w:r>
            <w:r>
              <w:rPr>
                <w:rFonts w:hint="eastAsia" w:ascii="仿宋" w:hAnsi="仿宋" w:eastAsia="仿宋" w:cs="仿宋"/>
                <w:sz w:val="24"/>
                <w:highlight w:val="none"/>
                <w:u w:val="single"/>
              </w:rPr>
              <w:t>09</w:t>
            </w:r>
            <w:r>
              <w:rPr>
                <w:rFonts w:hint="eastAsia" w:ascii="仿宋" w:hAnsi="仿宋" w:eastAsia="仿宋" w:cs="仿宋"/>
                <w:sz w:val="24"/>
                <w:highlight w:val="none"/>
              </w:rPr>
              <w:t>：</w:t>
            </w:r>
            <w:r>
              <w:rPr>
                <w:rFonts w:hint="eastAsia" w:ascii="仿宋" w:hAnsi="仿宋" w:eastAsia="仿宋" w:cs="仿宋"/>
                <w:sz w:val="24"/>
                <w:highlight w:val="none"/>
                <w:u w:val="single"/>
              </w:rPr>
              <w:t>30</w:t>
            </w:r>
            <w:r>
              <w:rPr>
                <w:rFonts w:hint="eastAsia" w:ascii="仿宋" w:hAnsi="仿宋" w:eastAsia="仿宋" w:cs="仿宋"/>
                <w:sz w:val="24"/>
                <w:highlight w:val="none"/>
              </w:rPr>
              <w:t>时（北京时间）</w:t>
            </w:r>
          </w:p>
        </w:tc>
      </w:tr>
      <w:tr>
        <w:tblPrEx>
          <w:tblCellMar>
            <w:top w:w="0" w:type="dxa"/>
            <w:left w:w="0" w:type="dxa"/>
            <w:bottom w:w="0" w:type="dxa"/>
            <w:right w:w="0" w:type="dxa"/>
          </w:tblCellMar>
        </w:tblPrEx>
        <w:trPr>
          <w:trHeight w:val="622" w:hRule="atLeast"/>
        </w:trPr>
        <w:tc>
          <w:tcPr>
            <w:tcW w:w="30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投标时间</w:t>
            </w:r>
          </w:p>
        </w:tc>
        <w:tc>
          <w:tcPr>
            <w:tcW w:w="585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详见招标公告（北京时间）</w:t>
            </w:r>
          </w:p>
        </w:tc>
      </w:tr>
      <w:tr>
        <w:tblPrEx>
          <w:tblCellMar>
            <w:top w:w="0" w:type="dxa"/>
            <w:left w:w="0" w:type="dxa"/>
            <w:bottom w:w="0" w:type="dxa"/>
            <w:right w:w="0" w:type="dxa"/>
          </w:tblCellMar>
        </w:tblPrEx>
        <w:trPr>
          <w:trHeight w:val="800" w:hRule="atLeast"/>
        </w:trPr>
        <w:tc>
          <w:tcPr>
            <w:tcW w:w="30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投标地点</w:t>
            </w:r>
          </w:p>
        </w:tc>
        <w:tc>
          <w:tcPr>
            <w:tcW w:w="585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textAlignment w:val="center"/>
              <w:rPr>
                <w:rFonts w:ascii="仿宋" w:hAnsi="仿宋" w:eastAsia="仿宋" w:cs="仿宋"/>
                <w:color w:val="000000"/>
                <w:sz w:val="24"/>
                <w:highlight w:val="none"/>
              </w:rPr>
            </w:pPr>
            <w:r>
              <w:rPr>
                <w:rFonts w:hint="eastAsia" w:ascii="仿宋" w:hAnsi="仿宋" w:eastAsia="仿宋" w:cs="仿宋"/>
                <w:sz w:val="24"/>
                <w:highlight w:val="none"/>
              </w:rPr>
              <w:t>武汉市汉阳区华发国际企业大厦23楼</w:t>
            </w:r>
          </w:p>
        </w:tc>
      </w:tr>
      <w:tr>
        <w:tblPrEx>
          <w:tblCellMar>
            <w:top w:w="0" w:type="dxa"/>
            <w:left w:w="0" w:type="dxa"/>
            <w:bottom w:w="0" w:type="dxa"/>
            <w:right w:w="0" w:type="dxa"/>
          </w:tblCellMar>
        </w:tblPrEx>
        <w:trPr>
          <w:trHeight w:val="622" w:hRule="atLeast"/>
        </w:trPr>
        <w:tc>
          <w:tcPr>
            <w:tcW w:w="30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投标方法及标准</w:t>
            </w:r>
          </w:p>
        </w:tc>
        <w:tc>
          <w:tcPr>
            <w:tcW w:w="585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详见本章节第二部分“投标程序”及第三章“评分标准”</w:t>
            </w:r>
          </w:p>
        </w:tc>
      </w:tr>
      <w:tr>
        <w:tblPrEx>
          <w:tblCellMar>
            <w:top w:w="0" w:type="dxa"/>
            <w:left w:w="0" w:type="dxa"/>
            <w:bottom w:w="0" w:type="dxa"/>
            <w:right w:w="0" w:type="dxa"/>
          </w:tblCellMar>
        </w:tblPrEx>
        <w:trPr>
          <w:trHeight w:val="975" w:hRule="atLeast"/>
        </w:trPr>
        <w:tc>
          <w:tcPr>
            <w:tcW w:w="305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lang w:bidi="ar"/>
              </w:rPr>
              <w:t>成交原则</w:t>
            </w:r>
          </w:p>
        </w:tc>
        <w:tc>
          <w:tcPr>
            <w:tcW w:w="5858"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rPr>
                <w:rFonts w:ascii="仿宋" w:hAnsi="仿宋" w:eastAsia="仿宋" w:cs="仿宋"/>
                <w:color w:val="000000"/>
                <w:sz w:val="24"/>
                <w:highlight w:val="none"/>
              </w:rPr>
            </w:pPr>
            <w:r>
              <w:rPr>
                <w:rFonts w:hint="eastAsia" w:ascii="仿宋" w:hAnsi="仿宋" w:eastAsia="仿宋" w:cs="仿宋"/>
                <w:sz w:val="24"/>
                <w:highlight w:val="none"/>
              </w:rPr>
              <w:t>由评审小组成员依据各家投标单位提供的投标资料和最终报价得出各家综合得分，</w:t>
            </w:r>
            <w:r>
              <w:rPr>
                <w:rFonts w:hint="eastAsia" w:ascii="仿宋" w:hAnsi="仿宋" w:eastAsia="仿宋" w:cs="仿宋"/>
                <w:color w:val="000000"/>
                <w:sz w:val="24"/>
                <w:highlight w:val="none"/>
                <w:lang w:bidi="ar"/>
              </w:rPr>
              <w:t>确定候选人。</w:t>
            </w:r>
          </w:p>
        </w:tc>
      </w:tr>
      <w:bookmarkEnd w:id="36"/>
    </w:tbl>
    <w:p>
      <w:pPr>
        <w:pStyle w:val="12"/>
        <w:spacing w:before="120" w:beforeAutospacing="0" w:after="0" w:afterAutospacing="0" w:line="460" w:lineRule="exact"/>
        <w:rPr>
          <w:rFonts w:ascii="仿宋" w:hAnsi="仿宋" w:eastAsia="仿宋" w:cs="仿宋"/>
          <w:color w:val="404040"/>
          <w:sz w:val="32"/>
          <w:highlight w:val="none"/>
        </w:rPr>
        <w:sectPr>
          <w:footerReference r:id="rId11" w:type="default"/>
          <w:pgSz w:w="11906" w:h="16838"/>
          <w:pgMar w:top="1304" w:right="1418" w:bottom="1304" w:left="1588" w:header="964" w:footer="851" w:gutter="0"/>
          <w:cols w:space="720" w:num="1"/>
          <w:formProt w:val="0"/>
        </w:sectPr>
      </w:pPr>
    </w:p>
    <w:p>
      <w:pPr>
        <w:numPr>
          <w:ilvl w:val="0"/>
          <w:numId w:val="11"/>
        </w:numPr>
        <w:spacing w:line="520" w:lineRule="exact"/>
        <w:ind w:firstLine="640" w:firstLineChars="200"/>
        <w:outlineLvl w:val="0"/>
        <w:rPr>
          <w:rFonts w:ascii="黑体" w:hAnsi="黑体" w:eastAsia="黑体" w:cs="黑体"/>
          <w:sz w:val="32"/>
          <w:highlight w:val="none"/>
        </w:rPr>
      </w:pPr>
      <w:bookmarkStart w:id="37" w:name="_Toc6731"/>
      <w:bookmarkStart w:id="38" w:name="_Toc15651"/>
      <w:bookmarkStart w:id="39" w:name="_Toc22875"/>
      <w:bookmarkStart w:id="40" w:name="_Toc3307"/>
      <w:bookmarkStart w:id="41" w:name="_Toc17995"/>
      <w:r>
        <w:rPr>
          <w:rFonts w:hint="eastAsia" w:ascii="黑体" w:hAnsi="黑体" w:eastAsia="黑体" w:cs="黑体"/>
          <w:sz w:val="32"/>
          <w:highlight w:val="none"/>
        </w:rPr>
        <w:t>总</w:t>
      </w:r>
      <w:bookmarkEnd w:id="37"/>
      <w:bookmarkEnd w:id="38"/>
      <w:r>
        <w:rPr>
          <w:rFonts w:hint="eastAsia" w:ascii="黑体" w:hAnsi="黑体" w:eastAsia="黑体" w:cs="黑体"/>
          <w:sz w:val="32"/>
          <w:highlight w:val="none"/>
        </w:rPr>
        <w:t>则</w:t>
      </w:r>
      <w:bookmarkEnd w:id="39"/>
      <w:bookmarkEnd w:id="40"/>
      <w:bookmarkEnd w:id="41"/>
    </w:p>
    <w:p>
      <w:pPr>
        <w:numPr>
          <w:ilvl w:val="0"/>
          <w:numId w:val="12"/>
        </w:numPr>
        <w:adjustRightInd w:val="0"/>
        <w:spacing w:line="520" w:lineRule="exact"/>
        <w:ind w:firstLine="643" w:firstLineChars="200"/>
        <w:outlineLvl w:val="2"/>
        <w:rPr>
          <w:rFonts w:ascii="仿宋" w:hAnsi="仿宋" w:eastAsia="仿宋" w:cs="仿宋"/>
          <w:b/>
          <w:bCs/>
          <w:sz w:val="32"/>
          <w:highlight w:val="none"/>
        </w:rPr>
      </w:pPr>
      <w:bookmarkStart w:id="42" w:name="_Toc12384"/>
      <w:r>
        <w:rPr>
          <w:rFonts w:hint="eastAsia" w:ascii="仿宋" w:hAnsi="仿宋" w:eastAsia="仿宋" w:cs="仿宋"/>
          <w:b/>
          <w:bCs/>
          <w:sz w:val="32"/>
          <w:highlight w:val="none"/>
        </w:rPr>
        <w:t>适用范围</w:t>
      </w:r>
      <w:bookmarkEnd w:id="42"/>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1．1本文件仅适用于文件中所叙述的工程、货物、服务类采购项目。</w:t>
      </w:r>
    </w:p>
    <w:p>
      <w:pPr>
        <w:adjustRightInd w:val="0"/>
        <w:spacing w:line="520" w:lineRule="exact"/>
        <w:ind w:firstLine="643" w:firstLineChars="200"/>
        <w:rPr>
          <w:rFonts w:ascii="仿宋" w:hAnsi="仿宋" w:eastAsia="仿宋" w:cs="仿宋"/>
          <w:b/>
          <w:bCs/>
          <w:sz w:val="32"/>
          <w:highlight w:val="none"/>
        </w:rPr>
      </w:pPr>
      <w:r>
        <w:rPr>
          <w:rFonts w:hint="eastAsia" w:ascii="仿宋" w:hAnsi="仿宋" w:eastAsia="仿宋" w:cs="仿宋"/>
          <w:b/>
          <w:bCs/>
          <w:sz w:val="32"/>
          <w:highlight w:val="none"/>
        </w:rPr>
        <w:t>2．定义</w:t>
      </w:r>
    </w:p>
    <w:p>
      <w:pPr>
        <w:pStyle w:val="12"/>
        <w:spacing w:before="0" w:beforeAutospacing="0" w:after="0" w:afterAutospacing="0" w:line="520" w:lineRule="exact"/>
        <w:ind w:right="330" w:firstLine="640" w:firstLineChars="200"/>
        <w:jc w:val="both"/>
        <w:rPr>
          <w:rFonts w:ascii="仿宋" w:hAnsi="仿宋" w:eastAsia="仿宋" w:cs="仿宋"/>
          <w:color w:val="444444"/>
          <w:sz w:val="32"/>
          <w:highlight w:val="none"/>
          <w:shd w:val="clear" w:color="auto" w:fill="FFFFFF"/>
        </w:rPr>
      </w:pPr>
      <w:r>
        <w:rPr>
          <w:rFonts w:hint="eastAsia" w:ascii="仿宋" w:hAnsi="仿宋" w:eastAsia="仿宋" w:cs="仿宋"/>
          <w:sz w:val="32"/>
          <w:highlight w:val="none"/>
        </w:rPr>
        <w:t>2．1、“招标人”是指：武汉生态环境设计研究院有限公司</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2．2、“投标人”是指响应本文件要求，参加投标的法人或者其他组织。如果该投标人在本次投标中成交，即成为“成交投标人”。</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2.3、“投标文件”是指：投标人根据本文件要求，编制项目所需要求的所有内容的投标文件。</w:t>
      </w:r>
    </w:p>
    <w:p>
      <w:pPr>
        <w:tabs>
          <w:tab w:val="left" w:pos="420"/>
        </w:tabs>
        <w:adjustRightInd w:val="0"/>
        <w:spacing w:line="520" w:lineRule="exact"/>
        <w:ind w:firstLine="643" w:firstLineChars="200"/>
        <w:rPr>
          <w:rFonts w:ascii="仿宋" w:hAnsi="仿宋" w:eastAsia="仿宋" w:cs="仿宋"/>
          <w:b/>
          <w:bCs/>
          <w:sz w:val="32"/>
          <w:highlight w:val="none"/>
        </w:rPr>
      </w:pPr>
      <w:r>
        <w:rPr>
          <w:rFonts w:hint="eastAsia" w:ascii="仿宋" w:hAnsi="仿宋" w:eastAsia="仿宋" w:cs="仿宋"/>
          <w:b/>
          <w:bCs/>
          <w:sz w:val="32"/>
          <w:highlight w:val="none"/>
        </w:rPr>
        <w:t>3.</w:t>
      </w:r>
      <w:r>
        <w:rPr>
          <w:rFonts w:hint="eastAsia" w:ascii="仿宋" w:hAnsi="仿宋" w:cs="仿宋"/>
          <w:b/>
          <w:bCs/>
          <w:sz w:val="32"/>
          <w:highlight w:val="none"/>
        </w:rPr>
        <w:t>投标人</w:t>
      </w:r>
      <w:r>
        <w:rPr>
          <w:rFonts w:hint="eastAsia" w:ascii="仿宋" w:hAnsi="仿宋" w:eastAsia="仿宋" w:cs="仿宋"/>
          <w:b/>
          <w:bCs/>
          <w:sz w:val="32"/>
          <w:highlight w:val="none"/>
        </w:rPr>
        <w:t>的基本条件</w:t>
      </w:r>
    </w:p>
    <w:p>
      <w:pPr>
        <w:tabs>
          <w:tab w:val="left" w:pos="420"/>
        </w:tabs>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3.1、满足《中华人民共和国政府采购法》第二十二条规定，即：</w:t>
      </w:r>
    </w:p>
    <w:p>
      <w:pPr>
        <w:numPr>
          <w:ilvl w:val="0"/>
          <w:numId w:val="13"/>
        </w:num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具有独立承担民事责任的能力；</w:t>
      </w:r>
    </w:p>
    <w:p>
      <w:pPr>
        <w:numPr>
          <w:ilvl w:val="0"/>
          <w:numId w:val="13"/>
        </w:num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具有良好的商业信誉和健全的财务会计制度；</w:t>
      </w:r>
    </w:p>
    <w:p>
      <w:pPr>
        <w:numPr>
          <w:ilvl w:val="0"/>
          <w:numId w:val="13"/>
        </w:num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具有履行合同所必需的设备和专业技术能力；</w:t>
      </w:r>
    </w:p>
    <w:p>
      <w:pPr>
        <w:numPr>
          <w:ilvl w:val="0"/>
          <w:numId w:val="13"/>
        </w:num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有依法缴纳税收和社会保障资金的良好记录；</w:t>
      </w:r>
    </w:p>
    <w:p>
      <w:pPr>
        <w:numPr>
          <w:ilvl w:val="0"/>
          <w:numId w:val="13"/>
        </w:num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参加政府采购活动前三年内，在经营活动中没有重大违法记录；</w:t>
      </w:r>
    </w:p>
    <w:p>
      <w:pPr>
        <w:numPr>
          <w:ilvl w:val="0"/>
          <w:numId w:val="13"/>
        </w:num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法律、行政法规规定的其他条件。</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3.2、单位负责人为同一人或者存在直接控股、管理关系的不同投标人，不得参加本项目同一合同项下的采购活动。</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3.3、未被列入失信被执行人、重大税收违法案件当事人名单，未被列入政府采购严重违法失信行为记录名单。</w:t>
      </w:r>
    </w:p>
    <w:p>
      <w:pPr>
        <w:pStyle w:val="2"/>
        <w:ind w:firstLine="640" w:firstLineChars="200"/>
        <w:rPr>
          <w:rFonts w:ascii="仿宋" w:hAnsi="仿宋" w:eastAsia="仿宋" w:cs="仿宋"/>
          <w:b w:val="0"/>
          <w:bCs w:val="0"/>
          <w:sz w:val="32"/>
          <w:szCs w:val="24"/>
          <w:highlight w:val="none"/>
        </w:rPr>
      </w:pPr>
      <w:r>
        <w:rPr>
          <w:rFonts w:hint="eastAsia" w:ascii="仿宋" w:hAnsi="仿宋" w:eastAsia="仿宋" w:cs="仿宋"/>
          <w:b w:val="0"/>
          <w:bCs w:val="0"/>
          <w:sz w:val="32"/>
          <w:szCs w:val="24"/>
          <w:highlight w:val="none"/>
        </w:rPr>
        <w:t>3.4、</w:t>
      </w:r>
      <w:r>
        <w:rPr>
          <w:rFonts w:hint="eastAsia" w:ascii="仿宋" w:hAnsi="仿宋" w:eastAsia="仿宋" w:cs="仿宋"/>
          <w:b w:val="0"/>
          <w:bCs w:val="0"/>
          <w:sz w:val="32"/>
          <w:szCs w:val="30"/>
          <w:highlight w:val="none"/>
        </w:rPr>
        <w:t>本次公开招标不接受联合体参选。</w:t>
      </w:r>
    </w:p>
    <w:p>
      <w:pPr>
        <w:adjustRightInd w:val="0"/>
        <w:spacing w:line="520" w:lineRule="exact"/>
        <w:ind w:firstLine="643" w:firstLineChars="200"/>
        <w:rPr>
          <w:rFonts w:ascii="仿宋" w:hAnsi="仿宋" w:eastAsia="仿宋" w:cs="仿宋"/>
          <w:b/>
          <w:bCs/>
          <w:sz w:val="32"/>
          <w:highlight w:val="none"/>
        </w:rPr>
      </w:pPr>
      <w:r>
        <w:rPr>
          <w:rFonts w:hint="eastAsia" w:ascii="仿宋" w:hAnsi="仿宋" w:eastAsia="仿宋" w:cs="仿宋"/>
          <w:b/>
          <w:bCs/>
          <w:sz w:val="32"/>
          <w:highlight w:val="none"/>
        </w:rPr>
        <w:t>4、本项目的特定资格要求：</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4.1、投标人必须满足第一章“资格条件”中的所有要求。</w:t>
      </w:r>
    </w:p>
    <w:p>
      <w:pPr>
        <w:adjustRightInd w:val="0"/>
        <w:spacing w:line="520" w:lineRule="exact"/>
        <w:ind w:firstLine="640" w:firstLineChars="200"/>
        <w:rPr>
          <w:rFonts w:ascii="仿宋" w:hAnsi="仿宋" w:eastAsia="仿宋" w:cs="仿宋"/>
          <w:sz w:val="32"/>
          <w:highlight w:val="none"/>
          <w:lang w:val="zh-CN"/>
        </w:rPr>
      </w:pPr>
      <w:r>
        <w:rPr>
          <w:rFonts w:hint="eastAsia" w:ascii="仿宋" w:hAnsi="仿宋" w:eastAsia="仿宋" w:cs="仿宋"/>
          <w:sz w:val="32"/>
          <w:highlight w:val="none"/>
        </w:rPr>
        <w:t>以上资格要求为本次项目投标人应具备的基本条件，参加投标的投标人必须满足资格要求中的对应所有条款，并按照相关规定递交资格证明文件。</w:t>
      </w:r>
    </w:p>
    <w:p>
      <w:pPr>
        <w:numPr>
          <w:ilvl w:val="0"/>
          <w:numId w:val="14"/>
        </w:numPr>
        <w:adjustRightInd w:val="0"/>
        <w:spacing w:line="520" w:lineRule="exact"/>
        <w:ind w:firstLine="643" w:firstLineChars="200"/>
        <w:outlineLvl w:val="2"/>
        <w:rPr>
          <w:rFonts w:ascii="仿宋" w:hAnsi="仿宋" w:eastAsia="仿宋" w:cs="仿宋"/>
          <w:b/>
          <w:bCs/>
          <w:sz w:val="32"/>
          <w:highlight w:val="none"/>
        </w:rPr>
      </w:pPr>
      <w:bookmarkStart w:id="43" w:name="_Toc11027"/>
      <w:r>
        <w:rPr>
          <w:rFonts w:hint="eastAsia" w:ascii="仿宋" w:hAnsi="仿宋" w:eastAsia="仿宋" w:cs="仿宋"/>
          <w:b/>
          <w:bCs/>
          <w:sz w:val="32"/>
          <w:highlight w:val="none"/>
        </w:rPr>
        <w:t>投标费用</w:t>
      </w:r>
      <w:bookmarkEnd w:id="43"/>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5.</w:t>
      </w:r>
      <w:r>
        <w:rPr>
          <w:rFonts w:hint="eastAsia" w:ascii="仿宋" w:hAnsi="仿宋" w:cs="仿宋"/>
          <w:sz w:val="32"/>
          <w:highlight w:val="none"/>
        </w:rPr>
        <w:t>1</w:t>
      </w:r>
      <w:r>
        <w:rPr>
          <w:rFonts w:hint="eastAsia" w:ascii="仿宋" w:hAnsi="仿宋" w:eastAsia="仿宋" w:cs="仿宋"/>
          <w:sz w:val="32"/>
          <w:highlight w:val="none"/>
        </w:rPr>
        <w:t>、投标人应承担所有与准备和参加投标有关的费用。不论投标的结果如何，招标人均无义务和责任承担这些费用；</w:t>
      </w:r>
    </w:p>
    <w:p>
      <w:pPr>
        <w:numPr>
          <w:ilvl w:val="0"/>
          <w:numId w:val="15"/>
        </w:numPr>
        <w:spacing w:before="120" w:beforeLines="50" w:after="120" w:afterLines="50" w:line="520" w:lineRule="exact"/>
        <w:ind w:firstLine="640" w:firstLineChars="200"/>
        <w:outlineLvl w:val="0"/>
        <w:rPr>
          <w:rFonts w:ascii="黑体" w:hAnsi="黑体" w:eastAsia="黑体" w:cs="黑体"/>
          <w:bCs/>
          <w:sz w:val="32"/>
          <w:szCs w:val="30"/>
          <w:highlight w:val="none"/>
        </w:rPr>
      </w:pPr>
      <w:bookmarkStart w:id="44" w:name="_Toc32294"/>
      <w:bookmarkStart w:id="45" w:name="_Toc454369366"/>
      <w:bookmarkStart w:id="46" w:name="_Toc13813621"/>
      <w:bookmarkStart w:id="47" w:name="_Toc14964"/>
      <w:bookmarkStart w:id="48" w:name="_Toc15482"/>
      <w:bookmarkStart w:id="49" w:name="_Toc7830"/>
      <w:r>
        <w:rPr>
          <w:rFonts w:hint="eastAsia" w:ascii="黑体" w:hAnsi="黑体" w:eastAsia="黑体" w:cs="黑体"/>
          <w:bCs/>
          <w:sz w:val="32"/>
          <w:szCs w:val="30"/>
          <w:highlight w:val="none"/>
        </w:rPr>
        <w:t>投标程</w:t>
      </w:r>
      <w:bookmarkEnd w:id="44"/>
      <w:bookmarkEnd w:id="45"/>
      <w:bookmarkEnd w:id="46"/>
      <w:r>
        <w:rPr>
          <w:rFonts w:hint="eastAsia" w:ascii="黑体" w:hAnsi="黑体" w:eastAsia="黑体" w:cs="黑体"/>
          <w:bCs/>
          <w:sz w:val="32"/>
          <w:szCs w:val="30"/>
          <w:highlight w:val="none"/>
        </w:rPr>
        <w:t>序</w:t>
      </w:r>
      <w:bookmarkEnd w:id="47"/>
      <w:bookmarkEnd w:id="48"/>
      <w:bookmarkEnd w:id="49"/>
    </w:p>
    <w:p>
      <w:pPr>
        <w:numPr>
          <w:ilvl w:val="0"/>
          <w:numId w:val="16"/>
        </w:numPr>
        <w:spacing w:line="520" w:lineRule="exact"/>
        <w:ind w:firstLine="643" w:firstLineChars="200"/>
        <w:outlineLvl w:val="2"/>
        <w:rPr>
          <w:rFonts w:ascii="仿宋" w:hAnsi="仿宋" w:eastAsia="仿宋" w:cs="仿宋"/>
          <w:sz w:val="32"/>
          <w:highlight w:val="none"/>
        </w:rPr>
      </w:pPr>
      <w:bookmarkStart w:id="50" w:name="_Toc13813622"/>
      <w:bookmarkStart w:id="51" w:name="_Toc454369367"/>
      <w:bookmarkStart w:id="52" w:name="_Toc11750"/>
      <w:r>
        <w:rPr>
          <w:rFonts w:hint="eastAsia" w:ascii="仿宋" w:hAnsi="仿宋" w:eastAsia="仿宋" w:cs="仿宋"/>
          <w:b/>
          <w:bCs/>
          <w:sz w:val="32"/>
          <w:highlight w:val="none"/>
        </w:rPr>
        <w:t>公开</w:t>
      </w:r>
      <w:bookmarkEnd w:id="50"/>
      <w:bookmarkEnd w:id="51"/>
      <w:r>
        <w:rPr>
          <w:rFonts w:hint="eastAsia" w:ascii="仿宋" w:hAnsi="仿宋" w:eastAsia="仿宋" w:cs="仿宋"/>
          <w:b/>
          <w:bCs/>
          <w:sz w:val="32"/>
          <w:highlight w:val="none"/>
        </w:rPr>
        <w:t>评审小组。</w:t>
      </w:r>
      <w:r>
        <w:rPr>
          <w:rFonts w:hint="eastAsia" w:ascii="仿宋" w:hAnsi="仿宋" w:eastAsia="仿宋" w:cs="仿宋"/>
          <w:sz w:val="32"/>
          <w:highlight w:val="none"/>
        </w:rPr>
        <w:t>评审小组共设5名评审专家。设组长1名，组长与其他成员有同等评审权，仅负责组织评审活动，不得干预评审小组其他成员的评审。</w:t>
      </w:r>
      <w:bookmarkEnd w:id="52"/>
    </w:p>
    <w:p>
      <w:pPr>
        <w:numPr>
          <w:ilvl w:val="0"/>
          <w:numId w:val="17"/>
        </w:numPr>
        <w:spacing w:line="520" w:lineRule="exact"/>
        <w:ind w:firstLine="643" w:firstLineChars="200"/>
        <w:outlineLvl w:val="2"/>
        <w:rPr>
          <w:rFonts w:ascii="仿宋" w:hAnsi="仿宋" w:eastAsia="仿宋" w:cs="仿宋"/>
          <w:b/>
          <w:bCs/>
          <w:sz w:val="32"/>
          <w:highlight w:val="none"/>
        </w:rPr>
      </w:pPr>
      <w:bookmarkStart w:id="53" w:name="_Toc13813623"/>
      <w:bookmarkStart w:id="54" w:name="_Toc454369368"/>
      <w:bookmarkStart w:id="55" w:name="_Toc17504"/>
      <w:r>
        <w:rPr>
          <w:rFonts w:hint="eastAsia" w:ascii="仿宋" w:hAnsi="仿宋" w:eastAsia="仿宋" w:cs="仿宋"/>
          <w:b/>
          <w:bCs/>
          <w:sz w:val="32"/>
          <w:highlight w:val="none"/>
        </w:rPr>
        <w:t>投标程序和方</w:t>
      </w:r>
      <w:bookmarkEnd w:id="53"/>
      <w:bookmarkEnd w:id="54"/>
      <w:r>
        <w:rPr>
          <w:rFonts w:hint="eastAsia" w:ascii="仿宋" w:hAnsi="仿宋" w:eastAsia="仿宋" w:cs="仿宋"/>
          <w:b/>
          <w:bCs/>
          <w:sz w:val="32"/>
          <w:highlight w:val="none"/>
        </w:rPr>
        <w:t>法</w:t>
      </w:r>
      <w:bookmarkEnd w:id="55"/>
    </w:p>
    <w:p>
      <w:pPr>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2.1本次采购为招标采购。投标人应派其授权代表持有效身份证件按招标文件规定的时间递交投标文件，并准备参加投标。</w:t>
      </w:r>
    </w:p>
    <w:p>
      <w:pPr>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2.2投标人应当在招标文件要求的截止时间前，将相应文件密封送达指定地点。在截止时间后送达的相应文件为无效文件，评审小组应当拒收。</w:t>
      </w:r>
    </w:p>
    <w:p>
      <w:pPr>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2.3投标人在提交投标文件截止时间前，可以对所提交的文件进行补充、修改或者撤回，并书面通知招标人。补充、修改的内容作为响应文件的组成部分。补充、修改的内容与文件不一致的，以补充、修改的内容为准。</w:t>
      </w:r>
    </w:p>
    <w:p>
      <w:pPr>
        <w:numPr>
          <w:ilvl w:val="0"/>
          <w:numId w:val="18"/>
        </w:numPr>
        <w:spacing w:line="520" w:lineRule="exact"/>
        <w:ind w:firstLine="643" w:firstLineChars="200"/>
        <w:outlineLvl w:val="2"/>
        <w:rPr>
          <w:rFonts w:ascii="仿宋" w:hAnsi="仿宋" w:eastAsia="仿宋" w:cs="仿宋"/>
          <w:b/>
          <w:bCs/>
          <w:sz w:val="32"/>
          <w:highlight w:val="none"/>
        </w:rPr>
      </w:pPr>
      <w:bookmarkStart w:id="56" w:name="_Toc454369369"/>
      <w:bookmarkStart w:id="57" w:name="_Toc13813624"/>
      <w:bookmarkStart w:id="58" w:name="_Toc28135"/>
      <w:r>
        <w:rPr>
          <w:rFonts w:hint="eastAsia" w:ascii="仿宋" w:hAnsi="仿宋" w:eastAsia="仿宋" w:cs="仿宋"/>
          <w:b/>
          <w:bCs/>
          <w:sz w:val="32"/>
          <w:highlight w:val="none"/>
        </w:rPr>
        <w:t>投标文件评</w:t>
      </w:r>
      <w:bookmarkEnd w:id="56"/>
      <w:bookmarkEnd w:id="57"/>
      <w:r>
        <w:rPr>
          <w:rFonts w:hint="eastAsia" w:ascii="仿宋" w:hAnsi="仿宋" w:eastAsia="仿宋" w:cs="仿宋"/>
          <w:b/>
          <w:bCs/>
          <w:sz w:val="32"/>
          <w:highlight w:val="none"/>
        </w:rPr>
        <w:t>审</w:t>
      </w:r>
      <w:bookmarkEnd w:id="58"/>
    </w:p>
    <w:p>
      <w:pPr>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评审小组将依据公开招标文件要求，对所有投标文件进行评审。</w:t>
      </w:r>
    </w:p>
    <w:p>
      <w:pPr>
        <w:numPr>
          <w:ilvl w:val="0"/>
          <w:numId w:val="19"/>
        </w:numPr>
        <w:spacing w:line="520" w:lineRule="exact"/>
        <w:ind w:firstLine="643" w:firstLineChars="200"/>
        <w:outlineLvl w:val="2"/>
        <w:rPr>
          <w:rFonts w:ascii="仿宋" w:hAnsi="仿宋" w:eastAsia="仿宋" w:cs="仿宋"/>
          <w:b/>
          <w:bCs/>
          <w:sz w:val="32"/>
          <w:highlight w:val="none"/>
        </w:rPr>
      </w:pPr>
      <w:bookmarkStart w:id="59" w:name="_Toc15329"/>
      <w:r>
        <w:rPr>
          <w:rFonts w:hint="eastAsia" w:ascii="仿宋" w:hAnsi="仿宋" w:eastAsia="仿宋" w:cs="仿宋"/>
          <w:b/>
          <w:bCs/>
          <w:sz w:val="32"/>
          <w:highlight w:val="none"/>
        </w:rPr>
        <w:t>评审流程</w:t>
      </w:r>
      <w:bookmarkEnd w:id="59"/>
    </w:p>
    <w:p>
      <w:pPr>
        <w:numPr>
          <w:ilvl w:val="0"/>
          <w:numId w:val="20"/>
        </w:numPr>
        <w:spacing w:line="520" w:lineRule="exact"/>
        <w:ind w:firstLine="643" w:firstLineChars="200"/>
        <w:outlineLvl w:val="3"/>
        <w:rPr>
          <w:rFonts w:ascii="仿宋" w:hAnsi="仿宋" w:eastAsia="仿宋" w:cs="仿宋"/>
          <w:sz w:val="32"/>
          <w:highlight w:val="none"/>
        </w:rPr>
      </w:pPr>
      <w:r>
        <w:rPr>
          <w:rFonts w:hint="eastAsia" w:ascii="仿宋" w:hAnsi="仿宋" w:eastAsia="仿宋" w:cs="仿宋"/>
          <w:b/>
          <w:bCs/>
          <w:sz w:val="32"/>
          <w:highlight w:val="none"/>
        </w:rPr>
        <w:t>开标环节。</w:t>
      </w:r>
      <w:r>
        <w:rPr>
          <w:rFonts w:hint="eastAsia" w:ascii="仿宋" w:hAnsi="仿宋" w:eastAsia="仿宋" w:cs="仿宋"/>
          <w:sz w:val="32"/>
          <w:highlight w:val="none"/>
        </w:rPr>
        <w:t>开标会拟定于8月</w:t>
      </w:r>
      <w:r>
        <w:rPr>
          <w:rFonts w:hint="eastAsia" w:ascii="仿宋" w:hAnsi="仿宋" w:eastAsia="仿宋" w:cs="仿宋"/>
          <w:sz w:val="32"/>
          <w:highlight w:val="none"/>
          <w:lang w:val="en-US" w:eastAsia="zh-CN"/>
        </w:rPr>
        <w:t>29</w:t>
      </w:r>
      <w:r>
        <w:rPr>
          <w:rFonts w:hint="eastAsia" w:ascii="仿宋" w:hAnsi="仿宋" w:eastAsia="仿宋" w:cs="仿宋"/>
          <w:sz w:val="32"/>
          <w:highlight w:val="none"/>
        </w:rPr>
        <w:t>日09：30时召开；</w:t>
      </w:r>
    </w:p>
    <w:p>
      <w:pPr>
        <w:numPr>
          <w:ilvl w:val="0"/>
          <w:numId w:val="20"/>
        </w:numPr>
        <w:spacing w:line="520" w:lineRule="exact"/>
        <w:ind w:firstLine="643" w:firstLineChars="200"/>
        <w:outlineLvl w:val="3"/>
        <w:rPr>
          <w:rFonts w:ascii="仿宋" w:hAnsi="仿宋" w:eastAsia="仿宋" w:cs="仿宋"/>
          <w:sz w:val="32"/>
          <w:highlight w:val="none"/>
        </w:rPr>
      </w:pPr>
      <w:r>
        <w:rPr>
          <w:rFonts w:hint="eastAsia" w:ascii="仿宋" w:hAnsi="仿宋" w:eastAsia="仿宋" w:cs="仿宋"/>
          <w:b/>
          <w:bCs/>
          <w:sz w:val="32"/>
          <w:highlight w:val="none"/>
        </w:rPr>
        <w:t>投标文件密封情况检查。</w:t>
      </w:r>
      <w:r>
        <w:rPr>
          <w:rFonts w:hint="eastAsia" w:ascii="仿宋" w:hAnsi="仿宋" w:eastAsia="仿宋" w:cs="仿宋"/>
          <w:sz w:val="32"/>
          <w:highlight w:val="none"/>
        </w:rPr>
        <w:t>评审小组全体成员检查投标文件密封情况，并对密封情况进行确认；</w:t>
      </w:r>
    </w:p>
    <w:p>
      <w:pPr>
        <w:numPr>
          <w:ilvl w:val="0"/>
          <w:numId w:val="20"/>
        </w:numPr>
        <w:spacing w:line="520" w:lineRule="exact"/>
        <w:ind w:firstLine="643" w:firstLineChars="200"/>
        <w:outlineLvl w:val="3"/>
        <w:rPr>
          <w:rFonts w:ascii="仿宋" w:hAnsi="仿宋" w:eastAsia="仿宋" w:cs="仿宋"/>
          <w:sz w:val="32"/>
          <w:highlight w:val="none"/>
        </w:rPr>
      </w:pPr>
      <w:r>
        <w:rPr>
          <w:rFonts w:hint="eastAsia" w:ascii="仿宋" w:hAnsi="仿宋" w:eastAsia="仿宋" w:cs="仿宋"/>
          <w:b/>
          <w:bCs/>
          <w:sz w:val="32"/>
          <w:highlight w:val="none"/>
        </w:rPr>
        <w:t>评标。</w:t>
      </w:r>
      <w:r>
        <w:rPr>
          <w:rFonts w:hint="eastAsia" w:ascii="仿宋" w:hAnsi="仿宋" w:eastAsia="仿宋" w:cs="仿宋"/>
          <w:sz w:val="32"/>
          <w:highlight w:val="none"/>
        </w:rPr>
        <w:t>评审小组根据本项目相关规定，对投标文件依次进行资格性审查和符合性审查。对不符合资格性审查条件的，按照废标处理。再对符合审查条件的投标文件进行逐一评审打分。</w:t>
      </w:r>
    </w:p>
    <w:p>
      <w:pPr>
        <w:numPr>
          <w:ilvl w:val="0"/>
          <w:numId w:val="20"/>
        </w:numPr>
        <w:spacing w:line="520" w:lineRule="exact"/>
        <w:ind w:firstLine="643" w:firstLineChars="200"/>
        <w:outlineLvl w:val="3"/>
        <w:rPr>
          <w:rFonts w:ascii="仿宋" w:hAnsi="仿宋" w:eastAsia="仿宋" w:cs="仿宋"/>
          <w:sz w:val="32"/>
          <w:highlight w:val="none"/>
        </w:rPr>
      </w:pPr>
      <w:r>
        <w:rPr>
          <w:rFonts w:hint="eastAsia" w:ascii="仿宋" w:hAnsi="仿宋" w:eastAsia="仿宋" w:cs="仿宋"/>
          <w:b/>
          <w:bCs/>
          <w:sz w:val="32"/>
          <w:highlight w:val="none"/>
        </w:rPr>
        <w:t>定标。</w:t>
      </w:r>
      <w:r>
        <w:rPr>
          <w:rFonts w:hint="eastAsia" w:ascii="仿宋" w:hAnsi="仿宋" w:eastAsia="仿宋" w:cs="仿宋"/>
          <w:sz w:val="32"/>
          <w:highlight w:val="none"/>
        </w:rPr>
        <w:t>以符合《招标文件》要求的综合平均得分最高的投标人为中标单位，其投标报价为本项目中标价。（具体中标规则参见第三章评分标准）</w:t>
      </w:r>
    </w:p>
    <w:p>
      <w:pPr>
        <w:ind w:firstLine="640" w:firstLineChars="200"/>
        <w:rPr>
          <w:rFonts w:ascii="仿宋" w:hAnsi="仿宋" w:eastAsia="仿宋" w:cs="仿宋"/>
          <w:sz w:val="32"/>
          <w:highlight w:val="none"/>
        </w:rPr>
      </w:pPr>
      <w:r>
        <w:rPr>
          <w:rFonts w:hint="eastAsia" w:ascii="仿宋" w:hAnsi="仿宋" w:eastAsia="仿宋" w:cs="仿宋"/>
          <w:sz w:val="32"/>
          <w:highlight w:val="none"/>
        </w:rPr>
        <w:t>（5）</w:t>
      </w:r>
      <w:r>
        <w:rPr>
          <w:rFonts w:hint="eastAsia" w:ascii="仿宋" w:hAnsi="仿宋" w:eastAsia="仿宋" w:cs="仿宋"/>
          <w:b/>
          <w:bCs/>
          <w:sz w:val="32"/>
          <w:highlight w:val="none"/>
        </w:rPr>
        <w:t>中标人公示。</w:t>
      </w:r>
      <w:r>
        <w:rPr>
          <w:rFonts w:hint="eastAsia" w:ascii="仿宋" w:hAnsi="仿宋" w:eastAsia="仿宋" w:cs="仿宋"/>
          <w:sz w:val="32"/>
          <w:highlight w:val="none"/>
        </w:rPr>
        <w:t>评审结果经公司领导批准同意后，院公司将投标中标人在公司官网进行3日公示。</w:t>
      </w:r>
    </w:p>
    <w:p>
      <w:pPr>
        <w:ind w:firstLine="640" w:firstLineChars="200"/>
        <w:rPr>
          <w:rFonts w:ascii="仿宋" w:hAnsi="仿宋" w:eastAsia="仿宋" w:cs="仿宋"/>
          <w:sz w:val="32"/>
          <w:highlight w:val="none"/>
        </w:rPr>
      </w:pPr>
      <w:r>
        <w:rPr>
          <w:rFonts w:hint="eastAsia" w:ascii="仿宋" w:hAnsi="仿宋" w:eastAsia="仿宋" w:cs="仿宋"/>
          <w:sz w:val="32"/>
          <w:highlight w:val="none"/>
        </w:rPr>
        <w:t>（6）</w:t>
      </w:r>
      <w:r>
        <w:rPr>
          <w:rFonts w:hint="eastAsia" w:ascii="仿宋" w:hAnsi="仿宋" w:eastAsia="仿宋" w:cs="仿宋"/>
          <w:b/>
          <w:bCs/>
          <w:sz w:val="32"/>
          <w:highlight w:val="none"/>
        </w:rPr>
        <w:t>签订合同。</w:t>
      </w:r>
      <w:r>
        <w:rPr>
          <w:rFonts w:hint="eastAsia" w:ascii="仿宋" w:hAnsi="仿宋" w:eastAsia="仿宋" w:cs="仿宋"/>
          <w:sz w:val="32"/>
          <w:highlight w:val="none"/>
        </w:rPr>
        <w:t>中标人公示期满无异议的，武汉生态环境设计研究院有限公司与其签订服务合同。</w:t>
      </w:r>
    </w:p>
    <w:p>
      <w:pPr>
        <w:pStyle w:val="12"/>
        <w:numPr>
          <w:ilvl w:val="0"/>
          <w:numId w:val="21"/>
        </w:numPr>
        <w:spacing w:before="120" w:beforeAutospacing="0" w:after="0" w:afterAutospacing="0" w:line="460" w:lineRule="exact"/>
        <w:ind w:firstLine="640" w:firstLineChars="200"/>
        <w:outlineLvl w:val="0"/>
        <w:rPr>
          <w:rFonts w:ascii="黑体" w:hAnsi="黑体" w:eastAsia="黑体" w:cs="黑体"/>
          <w:sz w:val="32"/>
          <w:highlight w:val="none"/>
        </w:rPr>
      </w:pPr>
      <w:bookmarkStart w:id="60" w:name="_Toc32246"/>
      <w:bookmarkStart w:id="61" w:name="_Toc6958"/>
      <w:r>
        <w:rPr>
          <w:rFonts w:hint="eastAsia" w:ascii="黑体" w:hAnsi="黑体" w:eastAsia="黑体" w:cs="黑体"/>
          <w:sz w:val="32"/>
          <w:highlight w:val="none"/>
        </w:rPr>
        <w:t>投标文件的编制要求</w:t>
      </w:r>
      <w:bookmarkEnd w:id="60"/>
      <w:bookmarkEnd w:id="61"/>
    </w:p>
    <w:p>
      <w:pPr>
        <w:pStyle w:val="12"/>
        <w:numPr>
          <w:ilvl w:val="0"/>
          <w:numId w:val="22"/>
        </w:numPr>
        <w:spacing w:before="120" w:beforeAutospacing="0" w:after="0" w:afterAutospacing="0" w:line="460" w:lineRule="exact"/>
        <w:ind w:firstLine="640" w:firstLineChars="200"/>
        <w:outlineLvl w:val="1"/>
        <w:rPr>
          <w:rFonts w:ascii="楷体" w:hAnsi="楷体" w:eastAsia="楷体" w:cs="楷体"/>
          <w:sz w:val="32"/>
          <w:highlight w:val="none"/>
        </w:rPr>
      </w:pPr>
      <w:bookmarkStart w:id="62" w:name="_Toc20639"/>
      <w:r>
        <w:rPr>
          <w:rFonts w:hint="eastAsia" w:ascii="楷体" w:hAnsi="楷体" w:eastAsia="楷体" w:cs="楷体"/>
          <w:color w:val="404040"/>
          <w:sz w:val="32"/>
          <w:highlight w:val="none"/>
        </w:rPr>
        <w:t>投标文件的密封和标记</w:t>
      </w:r>
      <w:bookmarkEnd w:id="62"/>
    </w:p>
    <w:p>
      <w:pPr>
        <w:pStyle w:val="12"/>
        <w:spacing w:before="120" w:beforeAutospacing="0" w:after="0" w:afterAutospacing="0" w:line="460" w:lineRule="exact"/>
        <w:ind w:firstLine="480"/>
        <w:rPr>
          <w:rFonts w:ascii="仿宋" w:hAnsi="仿宋" w:eastAsia="仿宋" w:cs="仿宋"/>
          <w:color w:val="404040"/>
          <w:sz w:val="32"/>
          <w:highlight w:val="none"/>
        </w:rPr>
      </w:pPr>
      <w:r>
        <w:rPr>
          <w:rFonts w:hint="eastAsia" w:ascii="仿宋" w:hAnsi="仿宋" w:eastAsia="仿宋" w:cs="仿宋"/>
          <w:color w:val="404040"/>
          <w:sz w:val="32"/>
          <w:highlight w:val="none"/>
        </w:rPr>
        <w:t>投标人应提交投标文件的正本一份和</w:t>
      </w:r>
      <w:r>
        <w:rPr>
          <w:rFonts w:hint="eastAsia" w:ascii="仿宋" w:hAnsi="仿宋" w:eastAsia="仿宋" w:cs="仿宋"/>
          <w:sz w:val="32"/>
          <w:highlight w:val="none"/>
        </w:rPr>
        <w:t>一份</w:t>
      </w:r>
      <w:r>
        <w:rPr>
          <w:rFonts w:hint="eastAsia" w:ascii="仿宋" w:hAnsi="仿宋" w:eastAsia="仿宋" w:cs="仿宋"/>
          <w:color w:val="404040"/>
          <w:sz w:val="32"/>
          <w:highlight w:val="none"/>
        </w:rPr>
        <w:t>副本，正、副本文件需标明目录和页码并分开密封，密封袋的封口处应加盖投标人公章。（报价函除装订在投标文</w:t>
      </w:r>
      <w:r>
        <w:rPr>
          <w:rFonts w:hint="eastAsia" w:ascii="仿宋" w:hAnsi="仿宋" w:eastAsia="仿宋" w:cs="仿宋"/>
          <w:color w:val="404040"/>
          <w:sz w:val="32"/>
          <w:highlight w:val="none"/>
          <w:lang w:val="en-US" w:eastAsia="zh-CN"/>
        </w:rPr>
        <w:t xml:space="preserve">   </w:t>
      </w:r>
      <w:r>
        <w:rPr>
          <w:rFonts w:hint="eastAsia" w:ascii="仿宋" w:hAnsi="仿宋" w:eastAsia="仿宋" w:cs="仿宋"/>
          <w:color w:val="404040"/>
          <w:sz w:val="32"/>
          <w:highlight w:val="none"/>
        </w:rPr>
        <w:t>件中外，另单独密封一份。）投标文件密封上应包括以下内容：1、投标项目名称；2、投标人名称（加盖公章）、地址、电话。</w:t>
      </w:r>
    </w:p>
    <w:p>
      <w:pPr>
        <w:pStyle w:val="12"/>
        <w:spacing w:before="120" w:beforeAutospacing="0" w:after="0" w:afterAutospacing="0" w:line="460" w:lineRule="exact"/>
        <w:ind w:firstLine="480"/>
        <w:rPr>
          <w:rFonts w:ascii="仿宋" w:hAnsi="仿宋" w:eastAsia="仿宋" w:cs="仿宋"/>
          <w:color w:val="404040"/>
          <w:sz w:val="32"/>
          <w:highlight w:val="none"/>
        </w:rPr>
      </w:pPr>
      <w:r>
        <w:rPr>
          <w:rFonts w:hint="eastAsia" w:ascii="仿宋" w:hAnsi="仿宋" w:eastAsia="仿宋" w:cs="仿宋"/>
          <w:color w:val="404040"/>
          <w:sz w:val="32"/>
          <w:highlight w:val="none"/>
        </w:rPr>
        <w:t>另，投标文件的电子版本（U盘）需为PDF版本，单独密封在一个大信封内。投标文件的信封上应写明：1）投标项目编号；2）投标项目名称；3）公开投标投标人名称。</w:t>
      </w:r>
    </w:p>
    <w:p>
      <w:pPr>
        <w:pStyle w:val="12"/>
        <w:numPr>
          <w:ilvl w:val="0"/>
          <w:numId w:val="23"/>
        </w:numPr>
        <w:spacing w:before="120" w:beforeAutospacing="0" w:after="0" w:afterAutospacing="0" w:line="460" w:lineRule="exact"/>
        <w:ind w:firstLine="640" w:firstLineChars="200"/>
        <w:outlineLvl w:val="1"/>
        <w:rPr>
          <w:rFonts w:ascii="楷体" w:hAnsi="楷体" w:eastAsia="楷体" w:cs="楷体"/>
          <w:sz w:val="32"/>
          <w:highlight w:val="none"/>
        </w:rPr>
      </w:pPr>
      <w:bookmarkStart w:id="63" w:name="_Toc30490"/>
      <w:r>
        <w:rPr>
          <w:rFonts w:hint="eastAsia" w:ascii="楷体" w:hAnsi="楷体" w:eastAsia="楷体" w:cs="楷体"/>
          <w:color w:val="404040"/>
          <w:sz w:val="32"/>
          <w:highlight w:val="none"/>
        </w:rPr>
        <w:t>投标文件提交地点及截止时间</w:t>
      </w:r>
      <w:bookmarkEnd w:id="63"/>
    </w:p>
    <w:p>
      <w:pPr>
        <w:pStyle w:val="12"/>
        <w:numPr>
          <w:ilvl w:val="0"/>
          <w:numId w:val="24"/>
        </w:numPr>
        <w:spacing w:before="120" w:beforeAutospacing="0" w:after="0" w:afterAutospacing="0" w:line="460" w:lineRule="exact"/>
        <w:ind w:firstLine="640" w:firstLineChars="200"/>
        <w:outlineLvl w:val="2"/>
        <w:rPr>
          <w:rFonts w:ascii="仿宋" w:hAnsi="仿宋" w:eastAsia="仿宋" w:cs="仿宋"/>
          <w:sz w:val="32"/>
          <w:highlight w:val="none"/>
        </w:rPr>
      </w:pPr>
      <w:bookmarkStart w:id="64" w:name="_Toc11445"/>
      <w:r>
        <w:rPr>
          <w:rFonts w:hint="eastAsia" w:ascii="仿宋" w:hAnsi="仿宋" w:eastAsia="仿宋" w:cs="仿宋"/>
          <w:color w:val="404040"/>
          <w:sz w:val="32"/>
          <w:highlight w:val="none"/>
        </w:rPr>
        <w:t>投标文件提交截止时间：</w:t>
      </w:r>
      <w:r>
        <w:rPr>
          <w:rFonts w:hint="eastAsia" w:ascii="仿宋" w:hAnsi="仿宋" w:eastAsia="仿宋" w:cs="仿宋"/>
          <w:sz w:val="32"/>
          <w:highlight w:val="none"/>
        </w:rPr>
        <w:t>2022年8月</w:t>
      </w:r>
      <w:r>
        <w:rPr>
          <w:rFonts w:hint="eastAsia" w:ascii="仿宋" w:hAnsi="仿宋" w:eastAsia="仿宋" w:cs="仿宋"/>
          <w:sz w:val="32"/>
          <w:highlight w:val="none"/>
          <w:lang w:val="en-US" w:eastAsia="zh-CN"/>
        </w:rPr>
        <w:t>29</w:t>
      </w:r>
      <w:r>
        <w:rPr>
          <w:rFonts w:hint="eastAsia" w:ascii="仿宋" w:hAnsi="仿宋" w:eastAsia="仿宋" w:cs="仿宋"/>
          <w:sz w:val="32"/>
          <w:highlight w:val="none"/>
        </w:rPr>
        <w:t>日上午9：30分。</w:t>
      </w:r>
      <w:r>
        <w:rPr>
          <w:rFonts w:hint="eastAsia" w:ascii="仿宋" w:hAnsi="仿宋" w:eastAsia="仿宋" w:cs="仿宋"/>
          <w:color w:val="404040"/>
          <w:sz w:val="32"/>
          <w:highlight w:val="none"/>
        </w:rPr>
        <w:t>投标人必须按规定的时间将投标文件送达指定地点，逾期提交的投标文件将不予受理。</w:t>
      </w:r>
      <w:bookmarkEnd w:id="64"/>
    </w:p>
    <w:p>
      <w:pPr>
        <w:pStyle w:val="12"/>
        <w:numPr>
          <w:ilvl w:val="0"/>
          <w:numId w:val="24"/>
        </w:numPr>
        <w:spacing w:before="120" w:beforeAutospacing="0" w:after="0" w:afterAutospacing="0" w:line="460" w:lineRule="exact"/>
        <w:ind w:firstLine="640" w:firstLineChars="200"/>
        <w:outlineLvl w:val="2"/>
        <w:rPr>
          <w:rFonts w:ascii="仿宋" w:hAnsi="仿宋" w:eastAsia="仿宋" w:cs="仿宋"/>
          <w:sz w:val="32"/>
          <w:highlight w:val="none"/>
        </w:rPr>
      </w:pPr>
      <w:bookmarkStart w:id="65" w:name="_Toc17260"/>
      <w:r>
        <w:rPr>
          <w:rFonts w:hint="eastAsia" w:ascii="仿宋" w:hAnsi="仿宋" w:eastAsia="仿宋" w:cs="仿宋"/>
          <w:color w:val="404040"/>
          <w:sz w:val="32"/>
          <w:highlight w:val="none"/>
        </w:rPr>
        <w:t>投标文件提交地点：武汉市汉阳区华发国际企业大厦23楼</w:t>
      </w:r>
      <w:bookmarkEnd w:id="65"/>
    </w:p>
    <w:p>
      <w:pPr>
        <w:pStyle w:val="12"/>
        <w:numPr>
          <w:ilvl w:val="0"/>
          <w:numId w:val="24"/>
        </w:numPr>
        <w:spacing w:before="120" w:beforeAutospacing="0" w:after="0" w:afterAutospacing="0" w:line="460" w:lineRule="exact"/>
        <w:ind w:firstLine="640" w:firstLineChars="200"/>
        <w:outlineLvl w:val="2"/>
        <w:rPr>
          <w:rFonts w:ascii="仿宋" w:hAnsi="仿宋" w:eastAsia="仿宋" w:cs="仿宋"/>
          <w:color w:val="404040"/>
          <w:sz w:val="32"/>
          <w:highlight w:val="none"/>
        </w:rPr>
      </w:pPr>
      <w:bookmarkStart w:id="66" w:name="_Toc156"/>
      <w:r>
        <w:rPr>
          <w:rFonts w:hint="eastAsia" w:ascii="仿宋" w:hAnsi="仿宋" w:eastAsia="仿宋" w:cs="仿宋"/>
          <w:color w:val="404040"/>
          <w:sz w:val="32"/>
          <w:highlight w:val="none"/>
        </w:rPr>
        <w:t>联系人：王怡人</w:t>
      </w:r>
      <w:bookmarkEnd w:id="66"/>
    </w:p>
    <w:p>
      <w:pPr>
        <w:pStyle w:val="12"/>
        <w:numPr>
          <w:ilvl w:val="0"/>
          <w:numId w:val="24"/>
        </w:numPr>
        <w:spacing w:before="120" w:beforeAutospacing="0" w:after="0" w:afterAutospacing="0" w:line="460" w:lineRule="exact"/>
        <w:ind w:firstLine="640" w:firstLineChars="200"/>
        <w:outlineLvl w:val="2"/>
        <w:rPr>
          <w:rFonts w:ascii="仿宋" w:hAnsi="仿宋" w:eastAsia="仿宋" w:cs="仿宋"/>
          <w:sz w:val="32"/>
          <w:highlight w:val="none"/>
          <w:shd w:val="clear" w:color="auto" w:fill="FFFFFF"/>
        </w:rPr>
      </w:pPr>
      <w:bookmarkStart w:id="67" w:name="_Toc3392"/>
      <w:r>
        <w:rPr>
          <w:rFonts w:hint="eastAsia" w:ascii="仿宋" w:hAnsi="仿宋" w:eastAsia="仿宋" w:cs="仿宋"/>
          <w:color w:val="404040"/>
          <w:sz w:val="32"/>
          <w:highlight w:val="none"/>
        </w:rPr>
        <w:t>联系电话：15927073681</w:t>
      </w:r>
      <w:bookmarkEnd w:id="67"/>
    </w:p>
    <w:p>
      <w:pPr>
        <w:pStyle w:val="12"/>
        <w:tabs>
          <w:tab w:val="left" w:pos="420"/>
        </w:tabs>
        <w:spacing w:before="120" w:beforeAutospacing="0" w:after="0" w:afterAutospacing="0" w:line="460" w:lineRule="exact"/>
        <w:ind w:firstLine="640" w:firstLineChars="200"/>
        <w:outlineLvl w:val="2"/>
        <w:rPr>
          <w:rFonts w:ascii="仿宋" w:hAnsi="仿宋" w:eastAsia="仿宋" w:cs="仿宋"/>
          <w:sz w:val="32"/>
          <w:highlight w:val="none"/>
          <w:shd w:val="clear" w:color="auto" w:fill="FFFFFF"/>
        </w:rPr>
      </w:pPr>
      <w:bookmarkStart w:id="68" w:name="_Toc556"/>
      <w:r>
        <w:rPr>
          <w:rFonts w:hint="eastAsia" w:ascii="仿宋" w:hAnsi="仿宋" w:eastAsia="仿宋" w:cs="仿宋"/>
          <w:color w:val="404040"/>
          <w:sz w:val="32"/>
          <w:highlight w:val="none"/>
        </w:rPr>
        <w:t>注：</w:t>
      </w:r>
      <w:r>
        <w:rPr>
          <w:rFonts w:hint="eastAsia" w:ascii="仿宋" w:hAnsi="仿宋" w:eastAsia="仿宋" w:cs="仿宋"/>
          <w:sz w:val="32"/>
          <w:highlight w:val="none"/>
        </w:rPr>
        <w:t>投标人</w:t>
      </w:r>
      <w:r>
        <w:rPr>
          <w:rFonts w:hint="eastAsia" w:ascii="仿宋" w:hAnsi="仿宋" w:eastAsia="仿宋" w:cs="仿宋"/>
          <w:sz w:val="32"/>
          <w:highlight w:val="none"/>
          <w:lang w:bidi="ar"/>
        </w:rPr>
        <w:t>除提交公告所涉各项证明资料原件审查外，还须携带以下资料原件进行现场审核：</w:t>
      </w:r>
      <w:r>
        <w:rPr>
          <w:rFonts w:hint="eastAsia" w:ascii="仿宋" w:hAnsi="仿宋" w:eastAsia="仿宋" w:cs="仿宋"/>
          <w:kern w:val="2"/>
          <w:sz w:val="32"/>
          <w:highlight w:val="none"/>
          <w:shd w:val="clear" w:color="auto" w:fill="FFFFFF"/>
          <w:lang w:bidi="ar"/>
        </w:rPr>
        <w:t>法定代表人凭法定代表人身份证明书及本人</w:t>
      </w:r>
      <w:r>
        <w:rPr>
          <w:rFonts w:hint="eastAsia" w:ascii="仿宋" w:hAnsi="仿宋" w:eastAsia="仿宋" w:cs="仿宋"/>
          <w:sz w:val="32"/>
          <w:highlight w:val="none"/>
          <w:lang w:bidi="ar"/>
        </w:rPr>
        <w:t>身份证原件</w:t>
      </w:r>
      <w:r>
        <w:rPr>
          <w:rFonts w:hint="eastAsia" w:ascii="仿宋" w:hAnsi="仿宋" w:eastAsia="仿宋" w:cs="仿宋"/>
          <w:sz w:val="32"/>
          <w:highlight w:val="none"/>
          <w:shd w:val="clear" w:color="auto" w:fill="FFFFFF"/>
          <w:lang w:bidi="ar"/>
        </w:rPr>
        <w:t>，或委托代理人凭法定代表人授权书及本人身份证原件。</w:t>
      </w:r>
      <w:bookmarkEnd w:id="68"/>
    </w:p>
    <w:p>
      <w:pPr>
        <w:pStyle w:val="12"/>
        <w:numPr>
          <w:ilvl w:val="0"/>
          <w:numId w:val="25"/>
        </w:numPr>
        <w:spacing w:before="120" w:beforeAutospacing="0" w:after="0" w:afterAutospacing="0" w:line="460" w:lineRule="exact"/>
        <w:ind w:firstLine="640" w:firstLineChars="200"/>
        <w:outlineLvl w:val="0"/>
        <w:rPr>
          <w:rFonts w:ascii="黑体" w:hAnsi="黑体" w:eastAsia="黑体" w:cs="黑体"/>
          <w:sz w:val="32"/>
          <w:highlight w:val="none"/>
        </w:rPr>
      </w:pPr>
      <w:bookmarkStart w:id="69" w:name="_Toc23700"/>
      <w:bookmarkStart w:id="70" w:name="_Toc22515"/>
      <w:r>
        <w:rPr>
          <w:rFonts w:hint="eastAsia" w:ascii="黑体" w:hAnsi="黑体" w:eastAsia="黑体" w:cs="黑体"/>
          <w:sz w:val="32"/>
          <w:highlight w:val="none"/>
        </w:rPr>
        <w:t>其他事项</w:t>
      </w:r>
      <w:bookmarkEnd w:id="69"/>
      <w:bookmarkEnd w:id="70"/>
    </w:p>
    <w:p>
      <w:pPr>
        <w:pStyle w:val="12"/>
        <w:spacing w:line="540" w:lineRule="exact"/>
        <w:ind w:firstLine="640" w:firstLineChars="200"/>
        <w:rPr>
          <w:rFonts w:ascii="仿宋" w:hAnsi="仿宋" w:eastAsia="仿宋" w:cs="仿宋"/>
          <w:sz w:val="32"/>
          <w:highlight w:val="none"/>
        </w:rPr>
      </w:pPr>
      <w:r>
        <w:rPr>
          <w:rFonts w:hint="eastAsia" w:ascii="仿宋" w:hAnsi="仿宋" w:eastAsia="仿宋" w:cs="仿宋"/>
          <w:color w:val="000000"/>
          <w:sz w:val="32"/>
          <w:highlight w:val="none"/>
        </w:rPr>
        <w:t>无论</w:t>
      </w:r>
      <w:r>
        <w:rPr>
          <w:rFonts w:hint="eastAsia" w:ascii="仿宋" w:hAnsi="仿宋" w:eastAsia="仿宋" w:cs="仿宋"/>
          <w:sz w:val="32"/>
          <w:highlight w:val="none"/>
        </w:rPr>
        <w:t>中标与否</w:t>
      </w:r>
      <w:r>
        <w:rPr>
          <w:rFonts w:hint="eastAsia" w:ascii="仿宋" w:hAnsi="仿宋" w:eastAsia="仿宋" w:cs="仿宋"/>
          <w:color w:val="000000"/>
          <w:sz w:val="32"/>
          <w:highlight w:val="none"/>
        </w:rPr>
        <w:t>，</w:t>
      </w:r>
      <w:r>
        <w:rPr>
          <w:rFonts w:hint="eastAsia" w:ascii="仿宋" w:hAnsi="仿宋" w:eastAsia="仿宋" w:cs="仿宋"/>
          <w:sz w:val="32"/>
          <w:highlight w:val="none"/>
        </w:rPr>
        <w:t>投标</w:t>
      </w:r>
      <w:r>
        <w:rPr>
          <w:rFonts w:hint="eastAsia" w:ascii="仿宋" w:hAnsi="仿宋" w:eastAsia="仿宋" w:cs="仿宋"/>
          <w:color w:val="000000"/>
          <w:sz w:val="32"/>
          <w:highlight w:val="none"/>
        </w:rPr>
        <w:t>文件及相关资料恕不退回，由招标人存档备考，招标人将对投标人资料予以保密；投标</w:t>
      </w:r>
      <w:r>
        <w:rPr>
          <w:rFonts w:hint="eastAsia" w:ascii="仿宋" w:hAnsi="仿宋" w:eastAsia="仿宋" w:cs="仿宋"/>
          <w:sz w:val="32"/>
          <w:highlight w:val="none"/>
        </w:rPr>
        <w:t>人均应自行承担所有与</w:t>
      </w:r>
      <w:r>
        <w:rPr>
          <w:rFonts w:hint="eastAsia" w:ascii="仿宋" w:hAnsi="仿宋" w:eastAsia="仿宋" w:cs="仿宋"/>
          <w:color w:val="000000"/>
          <w:sz w:val="32"/>
          <w:highlight w:val="none"/>
        </w:rPr>
        <w:t>投标</w:t>
      </w:r>
      <w:r>
        <w:rPr>
          <w:rFonts w:hint="eastAsia" w:ascii="仿宋" w:hAnsi="仿宋" w:eastAsia="仿宋" w:cs="仿宋"/>
          <w:sz w:val="32"/>
          <w:highlight w:val="none"/>
        </w:rPr>
        <w:t>活动有关的全部费用。</w:t>
      </w:r>
    </w:p>
    <w:p>
      <w:pPr>
        <w:pStyle w:val="12"/>
        <w:tabs>
          <w:tab w:val="left" w:pos="420"/>
        </w:tabs>
        <w:spacing w:before="120" w:beforeAutospacing="0" w:after="0" w:afterAutospacing="0" w:line="460" w:lineRule="exact"/>
        <w:rPr>
          <w:rFonts w:ascii="黑体" w:hAnsi="黑体" w:eastAsia="黑体" w:cs="黑体"/>
          <w:sz w:val="32"/>
          <w:highlight w:val="none"/>
        </w:rPr>
      </w:pPr>
    </w:p>
    <w:p>
      <w:pPr>
        <w:pStyle w:val="12"/>
        <w:tabs>
          <w:tab w:val="left" w:pos="420"/>
        </w:tabs>
        <w:spacing w:before="120" w:beforeAutospacing="0" w:after="0" w:afterAutospacing="0" w:line="460" w:lineRule="exact"/>
        <w:rPr>
          <w:rFonts w:ascii="仿宋" w:hAnsi="仿宋" w:eastAsia="仿宋" w:cs="仿宋"/>
          <w:color w:val="404040"/>
          <w:sz w:val="32"/>
          <w:highlight w:val="none"/>
        </w:rPr>
      </w:pPr>
    </w:p>
    <w:p>
      <w:pPr>
        <w:tabs>
          <w:tab w:val="left" w:pos="420"/>
        </w:tabs>
        <w:rPr>
          <w:rFonts w:ascii="仿宋" w:hAnsi="仿宋" w:eastAsia="仿宋" w:cs="仿宋"/>
          <w:sz w:val="32"/>
          <w:highlight w:val="none"/>
        </w:rPr>
      </w:pPr>
    </w:p>
    <w:p>
      <w:pPr>
        <w:rPr>
          <w:highlight w:val="none"/>
        </w:rPr>
      </w:pPr>
    </w:p>
    <w:p>
      <w:pPr>
        <w:pStyle w:val="12"/>
        <w:spacing w:before="120" w:beforeAutospacing="0" w:after="0" w:afterAutospacing="0" w:line="460" w:lineRule="exact"/>
        <w:rPr>
          <w:rFonts w:ascii="仿宋" w:hAnsi="仿宋" w:eastAsia="仿宋" w:cs="仿宋"/>
          <w:color w:val="404040"/>
          <w:sz w:val="32"/>
          <w:highlight w:val="none"/>
        </w:rPr>
        <w:sectPr>
          <w:pgSz w:w="11906" w:h="16838"/>
          <w:pgMar w:top="1304" w:right="1418" w:bottom="1304" w:left="1588" w:header="964" w:footer="851" w:gutter="0"/>
          <w:cols w:space="720" w:num="1"/>
          <w:formProt w:val="0"/>
        </w:sectPr>
      </w:pPr>
    </w:p>
    <w:p>
      <w:pPr>
        <w:pStyle w:val="12"/>
        <w:spacing w:before="120" w:beforeAutospacing="0" w:after="0" w:afterAutospacing="0" w:line="460" w:lineRule="exact"/>
        <w:jc w:val="center"/>
        <w:outlineLvl w:val="0"/>
        <w:rPr>
          <w:rFonts w:ascii="方正小标宋简体" w:hAnsi="方正小标宋简体" w:eastAsia="方正小标宋简体" w:cs="方正小标宋简体"/>
          <w:color w:val="333333"/>
          <w:sz w:val="44"/>
          <w:szCs w:val="19"/>
          <w:highlight w:val="none"/>
        </w:rPr>
        <w:sectPr>
          <w:headerReference r:id="rId12" w:type="default"/>
          <w:footerReference r:id="rId13" w:type="default"/>
          <w:type w:val="continuous"/>
          <w:pgSz w:w="11906" w:h="16838"/>
          <w:pgMar w:top="993" w:right="1274" w:bottom="1440" w:left="1800" w:header="851" w:footer="992" w:gutter="0"/>
          <w:cols w:space="720" w:num="1"/>
          <w:docGrid w:type="lines" w:linePitch="312" w:charSpace="0"/>
        </w:sectPr>
      </w:pPr>
      <w:bookmarkStart w:id="71" w:name="_Toc30732"/>
      <w:bookmarkStart w:id="72" w:name="_Toc17608"/>
    </w:p>
    <w:p>
      <w:pPr>
        <w:pStyle w:val="12"/>
        <w:spacing w:before="120" w:beforeAutospacing="0" w:after="0" w:afterAutospacing="0" w:line="460" w:lineRule="exact"/>
        <w:jc w:val="center"/>
        <w:outlineLvl w:val="0"/>
        <w:rPr>
          <w:highlight w:val="none"/>
        </w:rPr>
      </w:pPr>
      <w:r>
        <w:rPr>
          <w:rFonts w:hint="eastAsia" w:ascii="方正小标宋简体" w:hAnsi="方正小标宋简体" w:eastAsia="方正小标宋简体" w:cs="方正小标宋简体"/>
          <w:color w:val="333333"/>
          <w:sz w:val="44"/>
          <w:szCs w:val="19"/>
          <w:highlight w:val="none"/>
        </w:rPr>
        <w:t>第三章、评分标准</w:t>
      </w:r>
      <w:r>
        <w:rPr>
          <w:highlight w:val="none"/>
        </w:rPr>
        <w:fldChar w:fldCharType="begin"/>
      </w:r>
      <w:r>
        <w:rPr>
          <w:highlight w:val="none"/>
        </w:rPr>
        <w:instrText xml:space="preserve"> HYPERLINK "http://www.whbsjt.cn/zstbxx/http:" </w:instrText>
      </w:r>
      <w:r>
        <w:rPr>
          <w:highlight w:val="none"/>
        </w:rPr>
        <w:fldChar w:fldCharType="separate"/>
      </w:r>
      <w:r>
        <w:rPr>
          <w:highlight w:val="none"/>
        </w:rPr>
        <w:fldChar w:fldCharType="end"/>
      </w:r>
      <w:bookmarkEnd w:id="71"/>
      <w:bookmarkEnd w:id="72"/>
    </w:p>
    <w:tbl>
      <w:tblPr>
        <w:tblStyle w:val="13"/>
        <w:tblpPr w:leftFromText="180" w:rightFromText="180" w:vertAnchor="text" w:horzAnchor="page" w:tblpX="1577" w:tblpY="792"/>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89"/>
        <w:gridCol w:w="986"/>
        <w:gridCol w:w="2563"/>
        <w:gridCol w:w="4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1775" w:type="dxa"/>
            <w:gridSpan w:val="2"/>
            <w:vAlign w:val="center"/>
          </w:tcPr>
          <w:p>
            <w:pPr>
              <w:widowControl/>
              <w:jc w:val="center"/>
              <w:rPr>
                <w:rFonts w:ascii="仿宋" w:hAnsi="仿宋" w:eastAsia="仿宋" w:cs="仿宋"/>
                <w:b/>
                <w:bCs/>
                <w:sz w:val="24"/>
                <w:highlight w:val="none"/>
              </w:rPr>
            </w:pPr>
            <w:r>
              <w:rPr>
                <w:rFonts w:hint="eastAsia" w:ascii="仿宋" w:hAnsi="仿宋" w:eastAsia="仿宋" w:cs="仿宋"/>
                <w:b/>
                <w:bCs/>
                <w:sz w:val="24"/>
                <w:highlight w:val="none"/>
              </w:rPr>
              <w:t>条款号</w:t>
            </w:r>
          </w:p>
        </w:tc>
        <w:tc>
          <w:tcPr>
            <w:tcW w:w="2563" w:type="dxa"/>
            <w:vAlign w:val="center"/>
          </w:tcPr>
          <w:p>
            <w:pPr>
              <w:widowControl/>
              <w:jc w:val="center"/>
              <w:rPr>
                <w:rFonts w:ascii="仿宋" w:hAnsi="仿宋" w:eastAsia="仿宋" w:cs="仿宋"/>
                <w:b/>
                <w:bCs/>
                <w:sz w:val="24"/>
                <w:highlight w:val="none"/>
              </w:rPr>
            </w:pPr>
            <w:r>
              <w:rPr>
                <w:rFonts w:hint="eastAsia" w:ascii="仿宋" w:hAnsi="仿宋" w:eastAsia="仿宋" w:cs="仿宋"/>
                <w:b/>
                <w:bCs/>
                <w:sz w:val="24"/>
                <w:highlight w:val="none"/>
              </w:rPr>
              <w:t>评审因素</w:t>
            </w:r>
          </w:p>
        </w:tc>
        <w:tc>
          <w:tcPr>
            <w:tcW w:w="4733" w:type="dxa"/>
            <w:vAlign w:val="center"/>
          </w:tcPr>
          <w:p>
            <w:pPr>
              <w:widowControl/>
              <w:jc w:val="center"/>
              <w:rPr>
                <w:rFonts w:ascii="仿宋" w:hAnsi="仿宋" w:eastAsia="仿宋" w:cs="仿宋"/>
                <w:b/>
                <w:bCs/>
                <w:sz w:val="24"/>
                <w:highlight w:val="none"/>
              </w:rPr>
            </w:pPr>
            <w:r>
              <w:rPr>
                <w:rFonts w:hint="eastAsia" w:ascii="仿宋" w:hAnsi="仿宋" w:eastAsia="仿宋" w:cs="仿宋"/>
                <w:b/>
                <w:bCs/>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trPr>
        <w:tc>
          <w:tcPr>
            <w:tcW w:w="789" w:type="dxa"/>
            <w:vMerge w:val="restart"/>
            <w:vAlign w:val="center"/>
          </w:tcPr>
          <w:p>
            <w:pPr>
              <w:widowControl/>
              <w:jc w:val="center"/>
              <w:rPr>
                <w:rFonts w:ascii="仿宋" w:hAnsi="仿宋" w:eastAsia="仿宋" w:cs="仿宋"/>
                <w:bCs/>
                <w:sz w:val="24"/>
                <w:highlight w:val="none"/>
              </w:rPr>
            </w:pPr>
            <w:r>
              <w:rPr>
                <w:rFonts w:hint="eastAsia" w:ascii="仿宋" w:hAnsi="仿宋" w:eastAsia="仿宋" w:cs="仿宋"/>
                <w:bCs/>
                <w:sz w:val="24"/>
                <w:highlight w:val="none"/>
              </w:rPr>
              <w:t>1.1</w:t>
            </w:r>
          </w:p>
        </w:tc>
        <w:tc>
          <w:tcPr>
            <w:tcW w:w="986" w:type="dxa"/>
            <w:vMerge w:val="restart"/>
            <w:vAlign w:val="center"/>
          </w:tcPr>
          <w:p>
            <w:pPr>
              <w:widowControl/>
              <w:jc w:val="center"/>
              <w:rPr>
                <w:rFonts w:ascii="仿宋" w:hAnsi="仿宋" w:eastAsia="仿宋" w:cs="仿宋"/>
                <w:bCs/>
                <w:sz w:val="24"/>
                <w:highlight w:val="none"/>
              </w:rPr>
            </w:pPr>
            <w:r>
              <w:rPr>
                <w:rFonts w:hint="eastAsia" w:ascii="仿宋" w:hAnsi="仿宋" w:eastAsia="仿宋" w:cs="仿宋"/>
                <w:bCs/>
                <w:sz w:val="24"/>
                <w:highlight w:val="none"/>
              </w:rPr>
              <w:t>符合性评审标准</w:t>
            </w:r>
          </w:p>
        </w:tc>
        <w:tc>
          <w:tcPr>
            <w:tcW w:w="2563" w:type="dxa"/>
            <w:vMerge w:val="restart"/>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投标报价</w:t>
            </w:r>
          </w:p>
        </w:tc>
        <w:tc>
          <w:tcPr>
            <w:tcW w:w="4733" w:type="dxa"/>
            <w:vAlign w:val="center"/>
          </w:tcPr>
          <w:p>
            <w:pPr>
              <w:widowControl/>
              <w:rPr>
                <w:rFonts w:ascii="仿宋" w:hAnsi="仿宋" w:eastAsia="仿宋" w:cs="仿宋"/>
                <w:sz w:val="24"/>
                <w:highlight w:val="none"/>
              </w:rPr>
            </w:pPr>
            <w:r>
              <w:rPr>
                <w:rFonts w:hint="eastAsia" w:ascii="仿宋" w:hAnsi="仿宋" w:eastAsia="仿宋" w:cs="仿宋"/>
                <w:sz w:val="24"/>
                <w:highlight w:val="none"/>
              </w:rPr>
              <w:t>每一种采购内容是否只有一个报价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trPr>
        <w:tc>
          <w:tcPr>
            <w:tcW w:w="789" w:type="dxa"/>
            <w:vMerge w:val="continue"/>
            <w:vAlign w:val="center"/>
          </w:tcPr>
          <w:p>
            <w:pPr>
              <w:widowControl/>
              <w:jc w:val="center"/>
              <w:rPr>
                <w:rFonts w:ascii="仿宋" w:hAnsi="仿宋" w:eastAsia="仿宋" w:cs="仿宋"/>
                <w:bCs/>
                <w:sz w:val="24"/>
                <w:highlight w:val="none"/>
              </w:rPr>
            </w:pPr>
          </w:p>
        </w:tc>
        <w:tc>
          <w:tcPr>
            <w:tcW w:w="986" w:type="dxa"/>
            <w:vMerge w:val="continue"/>
            <w:vAlign w:val="center"/>
          </w:tcPr>
          <w:p>
            <w:pPr>
              <w:widowControl/>
              <w:jc w:val="center"/>
              <w:rPr>
                <w:rFonts w:ascii="仿宋" w:hAnsi="仿宋" w:eastAsia="仿宋" w:cs="仿宋"/>
                <w:bCs/>
                <w:sz w:val="24"/>
                <w:highlight w:val="none"/>
              </w:rPr>
            </w:pPr>
          </w:p>
        </w:tc>
        <w:tc>
          <w:tcPr>
            <w:tcW w:w="2563" w:type="dxa"/>
            <w:vMerge w:val="continue"/>
            <w:vAlign w:val="center"/>
          </w:tcPr>
          <w:p>
            <w:pPr>
              <w:widowControl/>
              <w:jc w:val="center"/>
              <w:rPr>
                <w:rFonts w:ascii="仿宋" w:hAnsi="仿宋" w:eastAsia="仿宋" w:cs="仿宋"/>
                <w:bCs/>
                <w:sz w:val="24"/>
                <w:highlight w:val="none"/>
              </w:rPr>
            </w:pPr>
          </w:p>
        </w:tc>
        <w:tc>
          <w:tcPr>
            <w:tcW w:w="4733" w:type="dxa"/>
            <w:vAlign w:val="center"/>
          </w:tcPr>
          <w:p>
            <w:pPr>
              <w:widowControl/>
              <w:rPr>
                <w:rFonts w:ascii="仿宋" w:hAnsi="仿宋" w:eastAsia="仿宋" w:cs="仿宋"/>
                <w:sz w:val="24"/>
                <w:highlight w:val="none"/>
              </w:rPr>
            </w:pPr>
            <w:r>
              <w:rPr>
                <w:rFonts w:hint="eastAsia" w:ascii="仿宋" w:hAnsi="仿宋" w:eastAsia="仿宋" w:cs="仿宋"/>
                <w:sz w:val="24"/>
                <w:highlight w:val="none"/>
              </w:rPr>
              <w:t>投标金额是否超过采购预算，招标人能否支付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trPr>
        <w:tc>
          <w:tcPr>
            <w:tcW w:w="789" w:type="dxa"/>
            <w:vMerge w:val="continue"/>
            <w:vAlign w:val="center"/>
          </w:tcPr>
          <w:p>
            <w:pPr>
              <w:widowControl/>
              <w:jc w:val="center"/>
              <w:rPr>
                <w:rFonts w:ascii="仿宋" w:hAnsi="仿宋" w:eastAsia="仿宋" w:cs="仿宋"/>
                <w:bCs/>
                <w:sz w:val="24"/>
                <w:highlight w:val="none"/>
              </w:rPr>
            </w:pPr>
          </w:p>
        </w:tc>
        <w:tc>
          <w:tcPr>
            <w:tcW w:w="986" w:type="dxa"/>
            <w:vMerge w:val="continue"/>
            <w:vAlign w:val="center"/>
          </w:tcPr>
          <w:p>
            <w:pPr>
              <w:widowControl/>
              <w:jc w:val="center"/>
              <w:rPr>
                <w:rFonts w:ascii="仿宋" w:hAnsi="仿宋" w:eastAsia="仿宋" w:cs="仿宋"/>
                <w:bCs/>
                <w:sz w:val="24"/>
                <w:highlight w:val="none"/>
              </w:rPr>
            </w:pPr>
          </w:p>
        </w:tc>
        <w:tc>
          <w:tcPr>
            <w:tcW w:w="256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经营范围</w:t>
            </w:r>
          </w:p>
        </w:tc>
        <w:tc>
          <w:tcPr>
            <w:tcW w:w="4733" w:type="dxa"/>
            <w:vAlign w:val="center"/>
          </w:tcPr>
          <w:p>
            <w:pPr>
              <w:widowControl/>
              <w:rPr>
                <w:rFonts w:ascii="仿宋" w:hAnsi="仿宋" w:eastAsia="仿宋" w:cs="仿宋"/>
                <w:sz w:val="24"/>
                <w:highlight w:val="none"/>
              </w:rPr>
            </w:pPr>
            <w:r>
              <w:rPr>
                <w:rFonts w:hint="eastAsia" w:ascii="仿宋" w:hAnsi="仿宋" w:eastAsia="仿宋" w:cs="仿宋"/>
                <w:sz w:val="24"/>
                <w:highlight w:val="none"/>
              </w:rPr>
              <w:t>是否超出经营范围投标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trPr>
        <w:tc>
          <w:tcPr>
            <w:tcW w:w="789" w:type="dxa"/>
            <w:vMerge w:val="continue"/>
            <w:vAlign w:val="center"/>
          </w:tcPr>
          <w:p>
            <w:pPr>
              <w:widowControl/>
              <w:jc w:val="center"/>
              <w:rPr>
                <w:rFonts w:ascii="仿宋" w:hAnsi="仿宋" w:eastAsia="仿宋" w:cs="仿宋"/>
                <w:bCs/>
                <w:sz w:val="24"/>
                <w:highlight w:val="none"/>
              </w:rPr>
            </w:pPr>
          </w:p>
        </w:tc>
        <w:tc>
          <w:tcPr>
            <w:tcW w:w="986" w:type="dxa"/>
            <w:vMerge w:val="continue"/>
            <w:vAlign w:val="center"/>
          </w:tcPr>
          <w:p>
            <w:pPr>
              <w:widowControl/>
              <w:jc w:val="center"/>
              <w:rPr>
                <w:rFonts w:ascii="仿宋" w:hAnsi="仿宋" w:eastAsia="仿宋" w:cs="仿宋"/>
                <w:bCs/>
                <w:sz w:val="24"/>
                <w:highlight w:val="none"/>
              </w:rPr>
            </w:pPr>
          </w:p>
        </w:tc>
        <w:tc>
          <w:tcPr>
            <w:tcW w:w="256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投标函签字盖章</w:t>
            </w:r>
          </w:p>
        </w:tc>
        <w:tc>
          <w:tcPr>
            <w:tcW w:w="4733" w:type="dxa"/>
            <w:vAlign w:val="center"/>
          </w:tcPr>
          <w:p>
            <w:pPr>
              <w:widowControl/>
              <w:rPr>
                <w:rFonts w:ascii="仿宋" w:hAnsi="仿宋" w:eastAsia="仿宋" w:cs="仿宋"/>
                <w:sz w:val="24"/>
                <w:highlight w:val="none"/>
              </w:rPr>
            </w:pPr>
            <w:r>
              <w:rPr>
                <w:rFonts w:hint="eastAsia" w:ascii="仿宋" w:hAnsi="仿宋" w:eastAsia="仿宋" w:cs="仿宋"/>
                <w:sz w:val="24"/>
                <w:highlight w:val="none"/>
              </w:rPr>
              <w:t>是否有法定代表人或其委托代理人签字或加盖单位公章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trPr>
        <w:tc>
          <w:tcPr>
            <w:tcW w:w="789" w:type="dxa"/>
            <w:vMerge w:val="continue"/>
            <w:vAlign w:val="center"/>
          </w:tcPr>
          <w:p>
            <w:pPr>
              <w:widowControl/>
              <w:jc w:val="center"/>
              <w:rPr>
                <w:rFonts w:ascii="仿宋" w:hAnsi="仿宋" w:eastAsia="仿宋" w:cs="仿宋"/>
                <w:bCs/>
                <w:sz w:val="24"/>
                <w:highlight w:val="none"/>
              </w:rPr>
            </w:pPr>
          </w:p>
        </w:tc>
        <w:tc>
          <w:tcPr>
            <w:tcW w:w="986" w:type="dxa"/>
            <w:vMerge w:val="continue"/>
            <w:vAlign w:val="center"/>
          </w:tcPr>
          <w:p>
            <w:pPr>
              <w:widowControl/>
              <w:jc w:val="center"/>
              <w:rPr>
                <w:rFonts w:ascii="仿宋" w:hAnsi="仿宋" w:eastAsia="仿宋" w:cs="仿宋"/>
                <w:bCs/>
                <w:sz w:val="24"/>
                <w:highlight w:val="none"/>
              </w:rPr>
            </w:pPr>
          </w:p>
        </w:tc>
        <w:tc>
          <w:tcPr>
            <w:tcW w:w="256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投标有效期</w:t>
            </w:r>
          </w:p>
        </w:tc>
        <w:tc>
          <w:tcPr>
            <w:tcW w:w="4733" w:type="dxa"/>
            <w:vAlign w:val="center"/>
          </w:tcPr>
          <w:p>
            <w:pPr>
              <w:widowControl/>
              <w:rPr>
                <w:rFonts w:ascii="仿宋" w:hAnsi="仿宋" w:eastAsia="仿宋" w:cs="仿宋"/>
                <w:sz w:val="24"/>
                <w:highlight w:val="none"/>
              </w:rPr>
            </w:pPr>
            <w:r>
              <w:rPr>
                <w:rFonts w:hint="eastAsia" w:ascii="仿宋" w:hAnsi="仿宋" w:eastAsia="仿宋" w:cs="仿宋"/>
                <w:sz w:val="24"/>
                <w:highlight w:val="none"/>
              </w:rPr>
              <w:t>投标有效期是否满足投标招标文件要求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trPr>
        <w:tc>
          <w:tcPr>
            <w:tcW w:w="789" w:type="dxa"/>
            <w:vMerge w:val="continue"/>
            <w:vAlign w:val="center"/>
          </w:tcPr>
          <w:p>
            <w:pPr>
              <w:widowControl/>
              <w:jc w:val="center"/>
              <w:rPr>
                <w:rFonts w:ascii="仿宋" w:hAnsi="仿宋" w:eastAsia="仿宋" w:cs="仿宋"/>
                <w:bCs/>
                <w:sz w:val="24"/>
                <w:highlight w:val="none"/>
              </w:rPr>
            </w:pPr>
          </w:p>
        </w:tc>
        <w:tc>
          <w:tcPr>
            <w:tcW w:w="986" w:type="dxa"/>
            <w:vMerge w:val="continue"/>
            <w:vAlign w:val="center"/>
          </w:tcPr>
          <w:p>
            <w:pPr>
              <w:widowControl/>
              <w:jc w:val="center"/>
              <w:rPr>
                <w:rFonts w:ascii="仿宋" w:hAnsi="仿宋" w:eastAsia="仿宋" w:cs="仿宋"/>
                <w:bCs/>
                <w:sz w:val="24"/>
                <w:highlight w:val="none"/>
              </w:rPr>
            </w:pPr>
          </w:p>
        </w:tc>
        <w:tc>
          <w:tcPr>
            <w:tcW w:w="256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信誉情况</w:t>
            </w:r>
          </w:p>
        </w:tc>
        <w:tc>
          <w:tcPr>
            <w:tcW w:w="4733" w:type="dxa"/>
            <w:vAlign w:val="center"/>
          </w:tcPr>
          <w:p>
            <w:pPr>
              <w:widowControl/>
              <w:rPr>
                <w:rFonts w:ascii="仿宋" w:hAnsi="仿宋" w:eastAsia="仿宋" w:cs="仿宋"/>
                <w:sz w:val="24"/>
                <w:highlight w:val="none"/>
              </w:rPr>
            </w:pPr>
            <w:r>
              <w:rPr>
                <w:rFonts w:hint="eastAsia" w:ascii="仿宋" w:hAnsi="仿宋" w:eastAsia="仿宋" w:cs="仿宋"/>
                <w:sz w:val="24"/>
                <w:highlight w:val="none"/>
              </w:rPr>
              <w:t>是否有不良经济纠纷记录和违法行为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7" w:hRule="atLeast"/>
        </w:trPr>
        <w:tc>
          <w:tcPr>
            <w:tcW w:w="789" w:type="dxa"/>
            <w:vMerge w:val="continue"/>
            <w:vAlign w:val="center"/>
          </w:tcPr>
          <w:p>
            <w:pPr>
              <w:widowControl/>
              <w:jc w:val="center"/>
              <w:rPr>
                <w:rFonts w:ascii="仿宋" w:hAnsi="仿宋" w:eastAsia="仿宋" w:cs="仿宋"/>
                <w:bCs/>
                <w:sz w:val="24"/>
                <w:highlight w:val="none"/>
              </w:rPr>
            </w:pPr>
          </w:p>
        </w:tc>
        <w:tc>
          <w:tcPr>
            <w:tcW w:w="986" w:type="dxa"/>
            <w:vMerge w:val="continue"/>
            <w:vAlign w:val="center"/>
          </w:tcPr>
          <w:p>
            <w:pPr>
              <w:widowControl/>
              <w:jc w:val="center"/>
              <w:rPr>
                <w:rFonts w:ascii="仿宋" w:hAnsi="仿宋" w:eastAsia="仿宋" w:cs="仿宋"/>
                <w:bCs/>
                <w:sz w:val="24"/>
                <w:highlight w:val="none"/>
              </w:rPr>
            </w:pPr>
          </w:p>
        </w:tc>
        <w:tc>
          <w:tcPr>
            <w:tcW w:w="256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采购需求响应</w:t>
            </w:r>
          </w:p>
        </w:tc>
        <w:tc>
          <w:tcPr>
            <w:tcW w:w="4733" w:type="dxa"/>
          </w:tcPr>
          <w:p>
            <w:pPr>
              <w:rPr>
                <w:rFonts w:ascii="仿宋" w:hAnsi="仿宋" w:eastAsia="仿宋" w:cs="仿宋"/>
                <w:sz w:val="24"/>
                <w:highlight w:val="none"/>
              </w:rPr>
            </w:pPr>
            <w:r>
              <w:rPr>
                <w:rFonts w:hint="eastAsia" w:ascii="仿宋" w:hAnsi="仿宋" w:eastAsia="仿宋" w:cs="仿宋"/>
                <w:sz w:val="24"/>
                <w:highlight w:val="none"/>
              </w:rPr>
              <w:t>是否满足投标招标文件技术要求及商务要求的所有相关规定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789" w:type="dxa"/>
            <w:vMerge w:val="continue"/>
            <w:vAlign w:val="center"/>
          </w:tcPr>
          <w:p>
            <w:pPr>
              <w:widowControl/>
              <w:jc w:val="center"/>
              <w:rPr>
                <w:rFonts w:ascii="仿宋" w:hAnsi="仿宋" w:eastAsia="仿宋" w:cs="仿宋"/>
                <w:bCs/>
                <w:sz w:val="24"/>
                <w:highlight w:val="none"/>
              </w:rPr>
            </w:pPr>
          </w:p>
        </w:tc>
        <w:tc>
          <w:tcPr>
            <w:tcW w:w="986" w:type="dxa"/>
            <w:vMerge w:val="continue"/>
            <w:vAlign w:val="center"/>
          </w:tcPr>
          <w:p>
            <w:pPr>
              <w:widowControl/>
              <w:jc w:val="center"/>
              <w:rPr>
                <w:rFonts w:ascii="仿宋" w:hAnsi="仿宋" w:eastAsia="仿宋" w:cs="仿宋"/>
                <w:bCs/>
                <w:sz w:val="24"/>
                <w:highlight w:val="none"/>
              </w:rPr>
            </w:pPr>
          </w:p>
        </w:tc>
        <w:tc>
          <w:tcPr>
            <w:tcW w:w="2563" w:type="dxa"/>
            <w:vAlign w:val="center"/>
          </w:tcPr>
          <w:p>
            <w:pPr>
              <w:widowControl/>
              <w:jc w:val="center"/>
              <w:rPr>
                <w:rFonts w:ascii="仿宋" w:hAnsi="仿宋" w:eastAsia="仿宋" w:cs="仿宋"/>
                <w:sz w:val="24"/>
                <w:highlight w:val="none"/>
              </w:rPr>
            </w:pPr>
            <w:r>
              <w:rPr>
                <w:rFonts w:hint="eastAsia" w:ascii="仿宋" w:hAnsi="仿宋" w:eastAsia="仿宋" w:cs="仿宋"/>
                <w:sz w:val="24"/>
                <w:highlight w:val="none"/>
              </w:rPr>
              <w:t>其他要求</w:t>
            </w:r>
          </w:p>
        </w:tc>
        <w:tc>
          <w:tcPr>
            <w:tcW w:w="4733" w:type="dxa"/>
            <w:vAlign w:val="center"/>
          </w:tcPr>
          <w:p>
            <w:pPr>
              <w:widowControl/>
              <w:rPr>
                <w:rFonts w:ascii="仿宋" w:hAnsi="仿宋" w:eastAsia="仿宋" w:cs="仿宋"/>
                <w:sz w:val="24"/>
                <w:highlight w:val="none"/>
              </w:rPr>
            </w:pPr>
            <w:r>
              <w:rPr>
                <w:rFonts w:hint="eastAsia" w:ascii="仿宋" w:hAnsi="仿宋" w:eastAsia="仿宋" w:cs="仿宋"/>
                <w:sz w:val="24"/>
                <w:highlight w:val="none"/>
              </w:rPr>
              <w:t>是否符合投标招标文件中的其他规定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789" w:type="dxa"/>
            <w:vAlign w:val="center"/>
          </w:tcPr>
          <w:p>
            <w:pPr>
              <w:jc w:val="center"/>
              <w:rPr>
                <w:rFonts w:ascii="仿宋" w:hAnsi="仿宋" w:eastAsia="仿宋" w:cs="仿宋"/>
                <w:bCs/>
                <w:sz w:val="24"/>
                <w:highlight w:val="none"/>
              </w:rPr>
            </w:pPr>
            <w:r>
              <w:rPr>
                <w:rFonts w:hint="eastAsia" w:ascii="仿宋" w:hAnsi="仿宋" w:eastAsia="仿宋" w:cs="仿宋"/>
                <w:bCs/>
                <w:sz w:val="24"/>
                <w:highlight w:val="none"/>
              </w:rPr>
              <w:t>1.2</w:t>
            </w:r>
          </w:p>
        </w:tc>
        <w:tc>
          <w:tcPr>
            <w:tcW w:w="986" w:type="dxa"/>
            <w:vAlign w:val="center"/>
          </w:tcPr>
          <w:p>
            <w:pPr>
              <w:jc w:val="center"/>
              <w:rPr>
                <w:rFonts w:ascii="仿宋" w:hAnsi="仿宋" w:eastAsia="仿宋" w:cs="仿宋"/>
                <w:bCs/>
                <w:sz w:val="24"/>
                <w:highlight w:val="none"/>
              </w:rPr>
            </w:pPr>
            <w:r>
              <w:rPr>
                <w:rFonts w:hint="eastAsia" w:ascii="仿宋" w:hAnsi="仿宋" w:eastAsia="仿宋" w:cs="仿宋"/>
                <w:sz w:val="24"/>
                <w:highlight w:val="none"/>
              </w:rPr>
              <w:t>资格性审查标准</w:t>
            </w:r>
          </w:p>
        </w:tc>
        <w:tc>
          <w:tcPr>
            <w:tcW w:w="2563" w:type="dxa"/>
            <w:vAlign w:val="center"/>
          </w:tcPr>
          <w:p>
            <w:pPr>
              <w:widowControl/>
              <w:jc w:val="center"/>
              <w:rPr>
                <w:rFonts w:ascii="仿宋" w:hAnsi="仿宋" w:eastAsia="仿宋" w:cs="仿宋"/>
                <w:b/>
                <w:bCs/>
                <w:sz w:val="24"/>
                <w:highlight w:val="none"/>
              </w:rPr>
            </w:pPr>
            <w:r>
              <w:rPr>
                <w:rFonts w:hint="eastAsia" w:ascii="仿宋" w:hAnsi="仿宋" w:eastAsia="仿宋" w:cs="仿宋"/>
                <w:sz w:val="24"/>
                <w:highlight w:val="none"/>
              </w:rPr>
              <w:t>资格要求</w:t>
            </w:r>
          </w:p>
        </w:tc>
        <w:tc>
          <w:tcPr>
            <w:tcW w:w="4733" w:type="dxa"/>
            <w:vAlign w:val="center"/>
          </w:tcPr>
          <w:p>
            <w:pPr>
              <w:widowControl/>
              <w:rPr>
                <w:rFonts w:ascii="仿宋" w:hAnsi="仿宋" w:eastAsia="仿宋" w:cs="仿宋"/>
                <w:b/>
                <w:bCs/>
                <w:sz w:val="24"/>
                <w:highlight w:val="none"/>
              </w:rPr>
            </w:pPr>
            <w:r>
              <w:rPr>
                <w:rFonts w:hint="eastAsia" w:ascii="仿宋" w:hAnsi="仿宋" w:eastAsia="仿宋" w:cs="仿宋"/>
                <w:sz w:val="24"/>
                <w:highlight w:val="none"/>
              </w:rPr>
              <w:t>符合第一章投标人资格要求，资格证明文件完整有效。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0" w:hRule="atLeast"/>
        </w:trPr>
        <w:tc>
          <w:tcPr>
            <w:tcW w:w="789" w:type="dxa"/>
            <w:vAlign w:val="center"/>
          </w:tcPr>
          <w:p>
            <w:pPr>
              <w:widowControl/>
              <w:jc w:val="center"/>
              <w:rPr>
                <w:rFonts w:ascii="仿宋" w:hAnsi="仿宋" w:eastAsia="仿宋" w:cs="仿宋"/>
                <w:bCs/>
                <w:sz w:val="24"/>
                <w:highlight w:val="none"/>
              </w:rPr>
            </w:pPr>
            <w:r>
              <w:rPr>
                <w:rFonts w:hint="eastAsia" w:ascii="仿宋" w:hAnsi="仿宋" w:eastAsia="仿宋" w:cs="仿宋"/>
                <w:bCs/>
                <w:sz w:val="24"/>
                <w:highlight w:val="none"/>
              </w:rPr>
              <w:t>1.3</w:t>
            </w:r>
          </w:p>
        </w:tc>
        <w:tc>
          <w:tcPr>
            <w:tcW w:w="986" w:type="dxa"/>
            <w:vAlign w:val="center"/>
          </w:tcPr>
          <w:p>
            <w:pPr>
              <w:widowControl/>
              <w:jc w:val="center"/>
              <w:rPr>
                <w:rFonts w:ascii="仿宋" w:hAnsi="仿宋" w:eastAsia="仿宋" w:cs="仿宋"/>
                <w:bCs/>
                <w:sz w:val="24"/>
                <w:highlight w:val="none"/>
              </w:rPr>
            </w:pPr>
            <w:r>
              <w:rPr>
                <w:rFonts w:hint="eastAsia" w:ascii="仿宋" w:hAnsi="仿宋" w:eastAsia="仿宋" w:cs="仿宋"/>
                <w:bCs/>
                <w:sz w:val="24"/>
                <w:highlight w:val="none"/>
              </w:rPr>
              <w:t>评定办法</w:t>
            </w:r>
          </w:p>
        </w:tc>
        <w:tc>
          <w:tcPr>
            <w:tcW w:w="2563" w:type="dxa"/>
            <w:vAlign w:val="center"/>
          </w:tcPr>
          <w:p>
            <w:pPr>
              <w:jc w:val="center"/>
              <w:rPr>
                <w:rFonts w:ascii="仿宋" w:hAnsi="仿宋" w:eastAsia="仿宋" w:cs="仿宋"/>
                <w:sz w:val="24"/>
                <w:highlight w:val="none"/>
              </w:rPr>
            </w:pPr>
            <w:r>
              <w:rPr>
                <w:rFonts w:hint="eastAsia" w:ascii="仿宋" w:hAnsi="仿宋" w:eastAsia="仿宋" w:cs="仿宋"/>
                <w:bCs/>
                <w:sz w:val="24"/>
                <w:highlight w:val="none"/>
              </w:rPr>
              <w:t>综合评分法</w:t>
            </w:r>
          </w:p>
        </w:tc>
        <w:tc>
          <w:tcPr>
            <w:tcW w:w="4733" w:type="dxa"/>
            <w:vAlign w:val="center"/>
          </w:tcPr>
          <w:p>
            <w:pPr>
              <w:rPr>
                <w:rFonts w:ascii="仿宋" w:hAnsi="仿宋" w:eastAsia="仿宋" w:cs="仿宋"/>
                <w:sz w:val="24"/>
                <w:highlight w:val="none"/>
              </w:rPr>
            </w:pPr>
            <w:r>
              <w:rPr>
                <w:rFonts w:hint="eastAsia" w:ascii="仿宋" w:hAnsi="仿宋" w:eastAsia="仿宋" w:cs="仿宋"/>
                <w:sz w:val="24"/>
                <w:highlight w:val="none"/>
              </w:rPr>
              <w:t>详见《评标表》。</w:t>
            </w:r>
          </w:p>
        </w:tc>
      </w:tr>
    </w:tbl>
    <w:p>
      <w:pPr>
        <w:pStyle w:val="12"/>
        <w:spacing w:before="120" w:beforeAutospacing="0" w:after="0" w:afterAutospacing="0" w:line="460" w:lineRule="exact"/>
        <w:ind w:firstLine="480" w:firstLineChars="200"/>
        <w:rPr>
          <w:rFonts w:ascii="仿宋" w:hAnsi="仿宋" w:eastAsia="仿宋" w:cs="仿宋"/>
          <w:highlight w:val="none"/>
        </w:rPr>
      </w:pP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根据《政府采购法》有关规定确定以下评标方法、步骤及标准。</w:t>
      </w:r>
    </w:p>
    <w:p>
      <w:pPr>
        <w:numPr>
          <w:ilvl w:val="0"/>
          <w:numId w:val="26"/>
        </w:numPr>
        <w:adjustRightInd w:val="0"/>
        <w:spacing w:line="520" w:lineRule="exact"/>
        <w:ind w:firstLine="640" w:firstLineChars="200"/>
        <w:outlineLvl w:val="0"/>
        <w:rPr>
          <w:rFonts w:ascii="黑体" w:hAnsi="黑体" w:eastAsia="黑体" w:cs="黑体"/>
          <w:sz w:val="32"/>
          <w:highlight w:val="none"/>
        </w:rPr>
      </w:pPr>
      <w:bookmarkStart w:id="73" w:name="_Toc25457"/>
      <w:bookmarkStart w:id="74" w:name="_Toc18807"/>
      <w:bookmarkStart w:id="75" w:name="_Toc19369"/>
      <w:bookmarkStart w:id="76" w:name="_Toc32023"/>
      <w:r>
        <w:rPr>
          <w:rFonts w:hint="eastAsia" w:ascii="黑体" w:hAnsi="黑体" w:eastAsia="黑体" w:cs="黑体"/>
          <w:sz w:val="32"/>
          <w:highlight w:val="none"/>
        </w:rPr>
        <w:t>评标方</w:t>
      </w:r>
      <w:bookmarkEnd w:id="73"/>
      <w:r>
        <w:rPr>
          <w:rFonts w:hint="eastAsia" w:ascii="黑体" w:hAnsi="黑体" w:eastAsia="黑体" w:cs="黑体"/>
          <w:sz w:val="32"/>
          <w:highlight w:val="none"/>
        </w:rPr>
        <w:t>法</w:t>
      </w:r>
      <w:bookmarkEnd w:id="74"/>
      <w:bookmarkEnd w:id="75"/>
      <w:bookmarkEnd w:id="76"/>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初步审查标准符合性审查标准：见评定办法前附表。</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资格性审查标准：见评定办法前附表。</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评定方法：见评定办法前附表。</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综合评分法：见《评标表》。</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评定结果：</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经投标确定最终采购需求和提交投标文件的投标人后，由评审小组采用综合评分法对投标人的投标文件进行综合评分。</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完成评定后，评审小组须在评审报告上共同签字。</w:t>
      </w:r>
    </w:p>
    <w:p>
      <w:pPr>
        <w:numPr>
          <w:ilvl w:val="0"/>
          <w:numId w:val="27"/>
        </w:numPr>
        <w:adjustRightInd w:val="0"/>
        <w:spacing w:line="520" w:lineRule="exact"/>
        <w:outlineLvl w:val="0"/>
        <w:rPr>
          <w:rFonts w:ascii="黑体" w:hAnsi="黑体" w:eastAsia="黑体" w:cs="黑体"/>
          <w:sz w:val="32"/>
          <w:highlight w:val="none"/>
        </w:rPr>
      </w:pPr>
      <w:bookmarkStart w:id="77" w:name="_Toc31616"/>
      <w:bookmarkStart w:id="78" w:name="_Toc29311"/>
      <w:bookmarkStart w:id="79" w:name="_Toc24897"/>
      <w:bookmarkStart w:id="80" w:name="_Toc15318"/>
      <w:r>
        <w:rPr>
          <w:rFonts w:hint="eastAsia" w:ascii="黑体" w:hAnsi="黑体" w:eastAsia="黑体" w:cs="黑体"/>
          <w:sz w:val="32"/>
          <w:highlight w:val="none"/>
        </w:rPr>
        <w:t>评标</w:t>
      </w:r>
      <w:bookmarkEnd w:id="77"/>
      <w:r>
        <w:rPr>
          <w:rFonts w:hint="eastAsia" w:ascii="黑体" w:hAnsi="黑体" w:eastAsia="黑体" w:cs="黑体"/>
          <w:sz w:val="32"/>
          <w:highlight w:val="none"/>
        </w:rPr>
        <w:t>表</w:t>
      </w:r>
      <w:bookmarkEnd w:id="78"/>
      <w:bookmarkEnd w:id="79"/>
      <w:bookmarkEnd w:id="80"/>
    </w:p>
    <w:p>
      <w:pPr>
        <w:spacing w:line="500" w:lineRule="exact"/>
        <w:rPr>
          <w:rFonts w:ascii="仿宋_GB2312" w:hAnsi="仿宋_GB2312" w:eastAsia="仿宋" w:cs="仿宋_GB2312"/>
          <w:sz w:val="28"/>
          <w:szCs w:val="28"/>
          <w:highlight w:val="none"/>
        </w:rPr>
      </w:pPr>
      <w:r>
        <w:rPr>
          <w:rFonts w:hint="eastAsia" w:ascii="仿宋_GB2312" w:hAnsi="仿宋_GB2312" w:eastAsia="仿宋" w:cs="仿宋_GB2312"/>
          <w:sz w:val="28"/>
          <w:szCs w:val="28"/>
          <w:highlight w:val="none"/>
        </w:rPr>
        <w:t xml:space="preserve">  </w:t>
      </w:r>
    </w:p>
    <w:tbl>
      <w:tblPr>
        <w:tblStyle w:val="13"/>
        <w:tblW w:w="9442" w:type="dxa"/>
        <w:tblInd w:w="0" w:type="dxa"/>
        <w:tblLayout w:type="fixed"/>
        <w:tblCellMar>
          <w:top w:w="0" w:type="dxa"/>
          <w:left w:w="0" w:type="dxa"/>
          <w:bottom w:w="0" w:type="dxa"/>
          <w:right w:w="0" w:type="dxa"/>
        </w:tblCellMar>
      </w:tblPr>
      <w:tblGrid>
        <w:gridCol w:w="622"/>
        <w:gridCol w:w="2376"/>
        <w:gridCol w:w="5544"/>
        <w:gridCol w:w="900"/>
      </w:tblGrid>
      <w:tr>
        <w:tblPrEx>
          <w:tblCellMar>
            <w:top w:w="0" w:type="dxa"/>
            <w:left w:w="0" w:type="dxa"/>
            <w:bottom w:w="0" w:type="dxa"/>
            <w:right w:w="0" w:type="dxa"/>
          </w:tblCellMar>
        </w:tblPrEx>
        <w:trPr>
          <w:trHeight w:val="360" w:hRule="atLeast"/>
        </w:trPr>
        <w:tc>
          <w:tcPr>
            <w:tcW w:w="62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序号</w:t>
            </w:r>
          </w:p>
        </w:tc>
        <w:tc>
          <w:tcPr>
            <w:tcW w:w="237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评审内容</w:t>
            </w:r>
          </w:p>
        </w:tc>
        <w:tc>
          <w:tcPr>
            <w:tcW w:w="554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评分标准</w:t>
            </w:r>
          </w:p>
        </w:tc>
        <w:tc>
          <w:tcPr>
            <w:tcW w:w="9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标准分值</w:t>
            </w:r>
          </w:p>
        </w:tc>
      </w:tr>
      <w:tr>
        <w:tblPrEx>
          <w:tblCellMar>
            <w:top w:w="0" w:type="dxa"/>
            <w:left w:w="0" w:type="dxa"/>
            <w:bottom w:w="0" w:type="dxa"/>
            <w:right w:w="0" w:type="dxa"/>
          </w:tblCellMar>
        </w:tblPrEx>
        <w:trPr>
          <w:trHeight w:val="360" w:hRule="atLeast"/>
        </w:trPr>
        <w:tc>
          <w:tcPr>
            <w:tcW w:w="6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highlight w:val="none"/>
              </w:rPr>
            </w:pPr>
          </w:p>
        </w:tc>
        <w:tc>
          <w:tcPr>
            <w:tcW w:w="237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sz w:val="24"/>
                <w:highlight w:val="none"/>
              </w:rPr>
            </w:pPr>
          </w:p>
        </w:tc>
        <w:tc>
          <w:tcPr>
            <w:tcW w:w="554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sz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sz w:val="24"/>
                <w:highlight w:val="none"/>
              </w:rPr>
            </w:pPr>
          </w:p>
        </w:tc>
      </w:tr>
      <w:tr>
        <w:tblPrEx>
          <w:tblCellMar>
            <w:top w:w="0" w:type="dxa"/>
            <w:left w:w="0" w:type="dxa"/>
            <w:bottom w:w="0" w:type="dxa"/>
            <w:right w:w="0" w:type="dxa"/>
          </w:tblCellMar>
        </w:tblPrEx>
        <w:trPr>
          <w:trHeight w:val="560" w:hRule="atLeast"/>
        </w:trPr>
        <w:tc>
          <w:tcPr>
            <w:tcW w:w="62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highlight w:val="none"/>
              </w:rPr>
            </w:pPr>
          </w:p>
        </w:tc>
        <w:tc>
          <w:tcPr>
            <w:tcW w:w="237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sz w:val="24"/>
                <w:highlight w:val="none"/>
              </w:rPr>
            </w:pPr>
          </w:p>
        </w:tc>
        <w:tc>
          <w:tcPr>
            <w:tcW w:w="554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sz w:val="24"/>
                <w:highlight w:val="none"/>
              </w:rPr>
            </w:pPr>
          </w:p>
        </w:tc>
        <w:tc>
          <w:tcPr>
            <w:tcW w:w="9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sz w:val="24"/>
                <w:highlight w:val="none"/>
              </w:rPr>
            </w:pPr>
          </w:p>
        </w:tc>
      </w:tr>
      <w:tr>
        <w:tblPrEx>
          <w:tblCellMar>
            <w:top w:w="0" w:type="dxa"/>
            <w:left w:w="0" w:type="dxa"/>
            <w:bottom w:w="0" w:type="dxa"/>
            <w:right w:w="0" w:type="dxa"/>
          </w:tblCellMar>
        </w:tblPrEx>
        <w:trPr>
          <w:trHeight w:val="600" w:hRule="atLeast"/>
        </w:trPr>
        <w:tc>
          <w:tcPr>
            <w:tcW w:w="622" w:type="dxa"/>
            <w:vMerge w:val="restart"/>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1</w:t>
            </w:r>
          </w:p>
        </w:tc>
        <w:tc>
          <w:tcPr>
            <w:tcW w:w="2376" w:type="dxa"/>
            <w:vMerge w:val="restart"/>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律师事务所基本情况</w:t>
            </w:r>
          </w:p>
        </w:tc>
        <w:tc>
          <w:tcPr>
            <w:tcW w:w="5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sz w:val="24"/>
                <w:highlight w:val="none"/>
              </w:rPr>
            </w:pPr>
            <w:r>
              <w:rPr>
                <w:rFonts w:hint="eastAsia" w:ascii="仿宋" w:hAnsi="仿宋" w:eastAsia="仿宋" w:cs="仿宋"/>
                <w:kern w:val="0"/>
                <w:sz w:val="24"/>
                <w:highlight w:val="none"/>
                <w:lang w:bidi="ar"/>
              </w:rPr>
              <w:t>1、成立30年以上得5分；成立20-30年（含）得4分；成立10-20年（含）以内得3分；成立10年（含）以内得2分</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5分</w:t>
            </w:r>
          </w:p>
        </w:tc>
      </w:tr>
      <w:tr>
        <w:tblPrEx>
          <w:tblCellMar>
            <w:top w:w="0" w:type="dxa"/>
            <w:left w:w="0" w:type="dxa"/>
            <w:bottom w:w="0" w:type="dxa"/>
            <w:right w:w="0" w:type="dxa"/>
          </w:tblCellMar>
        </w:tblPrEx>
        <w:trPr>
          <w:trHeight w:val="405" w:hRule="atLeast"/>
        </w:trPr>
        <w:tc>
          <w:tcPr>
            <w:tcW w:w="622" w:type="dxa"/>
            <w:vMerge w:val="continue"/>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highlight w:val="none"/>
              </w:rPr>
            </w:pPr>
          </w:p>
        </w:tc>
        <w:tc>
          <w:tcPr>
            <w:tcW w:w="2376"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sz w:val="24"/>
                <w:highlight w:val="none"/>
              </w:rPr>
            </w:pPr>
          </w:p>
        </w:tc>
        <w:tc>
          <w:tcPr>
            <w:tcW w:w="5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sz w:val="24"/>
                <w:highlight w:val="none"/>
              </w:rPr>
            </w:pPr>
            <w:r>
              <w:rPr>
                <w:rFonts w:hint="eastAsia" w:ascii="仿宋" w:hAnsi="仿宋" w:eastAsia="仿宋" w:cs="仿宋"/>
                <w:kern w:val="0"/>
                <w:sz w:val="24"/>
                <w:highlight w:val="none"/>
                <w:lang w:bidi="ar"/>
              </w:rPr>
              <w:t>2、有</w:t>
            </w:r>
            <w:r>
              <w:rPr>
                <w:rStyle w:val="18"/>
                <w:rFonts w:hint="default"/>
                <w:color w:val="auto"/>
                <w:sz w:val="24"/>
                <w:szCs w:val="24"/>
                <w:highlight w:val="none"/>
                <w:lang w:bidi="ar"/>
              </w:rPr>
              <w:t>200</w:t>
            </w:r>
            <w:r>
              <w:rPr>
                <w:rFonts w:hint="eastAsia" w:ascii="仿宋" w:hAnsi="仿宋" w:eastAsia="仿宋" w:cs="仿宋"/>
                <w:kern w:val="0"/>
                <w:sz w:val="24"/>
                <w:highlight w:val="none"/>
                <w:lang w:bidi="ar"/>
              </w:rPr>
              <w:t>名以上律师得5分，有</w:t>
            </w:r>
            <w:r>
              <w:rPr>
                <w:rStyle w:val="18"/>
                <w:rFonts w:hint="default"/>
                <w:color w:val="auto"/>
                <w:sz w:val="24"/>
                <w:szCs w:val="24"/>
                <w:highlight w:val="none"/>
                <w:lang w:bidi="ar"/>
              </w:rPr>
              <w:t>200（含）-150</w:t>
            </w:r>
            <w:r>
              <w:rPr>
                <w:rFonts w:hint="eastAsia" w:ascii="仿宋" w:hAnsi="仿宋" w:eastAsia="仿宋" w:cs="仿宋"/>
                <w:kern w:val="0"/>
                <w:sz w:val="24"/>
                <w:highlight w:val="none"/>
                <w:lang w:bidi="ar"/>
              </w:rPr>
              <w:t>名律师得4分，有</w:t>
            </w:r>
            <w:r>
              <w:rPr>
                <w:rStyle w:val="18"/>
                <w:rFonts w:hint="default"/>
                <w:color w:val="auto"/>
                <w:sz w:val="24"/>
                <w:szCs w:val="24"/>
                <w:highlight w:val="none"/>
                <w:lang w:bidi="ar"/>
              </w:rPr>
              <w:t>150（含）-100名</w:t>
            </w:r>
            <w:r>
              <w:rPr>
                <w:rFonts w:hint="eastAsia" w:ascii="仿宋" w:hAnsi="仿宋" w:eastAsia="仿宋" w:cs="仿宋"/>
                <w:kern w:val="0"/>
                <w:sz w:val="24"/>
                <w:highlight w:val="none"/>
                <w:lang w:bidi="ar"/>
              </w:rPr>
              <w:t>律师得3分，有</w:t>
            </w:r>
            <w:r>
              <w:rPr>
                <w:rStyle w:val="18"/>
                <w:rFonts w:hint="default"/>
                <w:color w:val="auto"/>
                <w:sz w:val="24"/>
                <w:szCs w:val="24"/>
                <w:highlight w:val="none"/>
                <w:lang w:bidi="ar"/>
              </w:rPr>
              <w:t>100（含）-50名</w:t>
            </w:r>
            <w:r>
              <w:rPr>
                <w:rFonts w:hint="eastAsia" w:ascii="仿宋" w:hAnsi="仿宋" w:eastAsia="仿宋" w:cs="仿宋"/>
                <w:kern w:val="0"/>
                <w:sz w:val="24"/>
                <w:highlight w:val="none"/>
                <w:lang w:bidi="ar"/>
              </w:rPr>
              <w:t>律师得2分，有</w:t>
            </w:r>
            <w:r>
              <w:rPr>
                <w:rStyle w:val="18"/>
                <w:rFonts w:hint="default"/>
                <w:color w:val="auto"/>
                <w:sz w:val="24"/>
                <w:szCs w:val="24"/>
                <w:highlight w:val="none"/>
                <w:lang w:bidi="ar"/>
              </w:rPr>
              <w:t>50名以下</w:t>
            </w:r>
            <w:r>
              <w:rPr>
                <w:rFonts w:hint="eastAsia" w:ascii="仿宋" w:hAnsi="仿宋" w:eastAsia="仿宋" w:cs="仿宋"/>
                <w:kern w:val="0"/>
                <w:sz w:val="24"/>
                <w:highlight w:val="none"/>
                <w:lang w:bidi="ar"/>
              </w:rPr>
              <w:t>律师得1分。</w:t>
            </w:r>
            <w:r>
              <w:rPr>
                <w:rStyle w:val="18"/>
                <w:rFonts w:hint="default"/>
                <w:color w:val="auto"/>
                <w:sz w:val="24"/>
                <w:szCs w:val="24"/>
                <w:highlight w:val="none"/>
                <w:lang w:bidi="ar"/>
              </w:rPr>
              <w:t>（证明文件，需提供2021年度考核花名册并加盖律师协会公章）</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5分</w:t>
            </w:r>
          </w:p>
        </w:tc>
      </w:tr>
      <w:tr>
        <w:tblPrEx>
          <w:tblCellMar>
            <w:top w:w="0" w:type="dxa"/>
            <w:left w:w="0" w:type="dxa"/>
            <w:bottom w:w="0" w:type="dxa"/>
            <w:right w:w="0" w:type="dxa"/>
          </w:tblCellMar>
        </w:tblPrEx>
        <w:trPr>
          <w:trHeight w:val="960" w:hRule="atLeast"/>
        </w:trPr>
        <w:tc>
          <w:tcPr>
            <w:tcW w:w="622" w:type="dxa"/>
            <w:vMerge w:val="continue"/>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highlight w:val="none"/>
              </w:rPr>
            </w:pPr>
          </w:p>
        </w:tc>
        <w:tc>
          <w:tcPr>
            <w:tcW w:w="2376"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sz w:val="24"/>
                <w:highlight w:val="none"/>
              </w:rPr>
            </w:pPr>
          </w:p>
        </w:tc>
        <w:tc>
          <w:tcPr>
            <w:tcW w:w="5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sz w:val="24"/>
                <w:highlight w:val="none"/>
              </w:rPr>
            </w:pPr>
            <w:r>
              <w:rPr>
                <w:rFonts w:hint="eastAsia" w:ascii="仿宋" w:hAnsi="仿宋" w:eastAsia="仿宋" w:cs="仿宋"/>
                <w:kern w:val="0"/>
                <w:sz w:val="24"/>
                <w:highlight w:val="none"/>
                <w:lang w:bidi="ar"/>
              </w:rPr>
              <w:t>3、近三年平均每年营业收入8000万元以上得5分，5000-8000万元（含）得4分，3000-5000万元得3分</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5分</w:t>
            </w:r>
          </w:p>
        </w:tc>
      </w:tr>
      <w:tr>
        <w:tblPrEx>
          <w:tblCellMar>
            <w:top w:w="0" w:type="dxa"/>
            <w:left w:w="0" w:type="dxa"/>
            <w:bottom w:w="0" w:type="dxa"/>
            <w:right w:w="0" w:type="dxa"/>
          </w:tblCellMar>
        </w:tblPrEx>
        <w:trPr>
          <w:trHeight w:val="860" w:hRule="atLeast"/>
        </w:trPr>
        <w:tc>
          <w:tcPr>
            <w:tcW w:w="622" w:type="dxa"/>
            <w:vMerge w:val="continue"/>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highlight w:val="none"/>
              </w:rPr>
            </w:pPr>
          </w:p>
        </w:tc>
        <w:tc>
          <w:tcPr>
            <w:tcW w:w="2376" w:type="dxa"/>
            <w:vMerge w:val="continue"/>
            <w:tcBorders>
              <w:top w:val="nil"/>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sz w:val="24"/>
                <w:highlight w:val="none"/>
              </w:rPr>
            </w:pPr>
          </w:p>
        </w:tc>
        <w:tc>
          <w:tcPr>
            <w:tcW w:w="5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sz w:val="24"/>
                <w:highlight w:val="none"/>
              </w:rPr>
            </w:pPr>
            <w:r>
              <w:rPr>
                <w:rFonts w:hint="eastAsia" w:ascii="仿宋" w:hAnsi="仿宋" w:eastAsia="仿宋" w:cs="仿宋"/>
                <w:kern w:val="0"/>
                <w:sz w:val="24"/>
                <w:highlight w:val="none"/>
                <w:lang w:bidi="ar"/>
              </w:rPr>
              <w:t>4、党建工作。荣获党建工作示范单位得1分，荣获全国律师行业先进党组织得2分，荣获省级律师行业先进党组织得1分，荣获市级五星级基层党组织得1分。</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5分</w:t>
            </w:r>
          </w:p>
        </w:tc>
      </w:tr>
      <w:tr>
        <w:tblPrEx>
          <w:tblCellMar>
            <w:top w:w="0" w:type="dxa"/>
            <w:left w:w="0" w:type="dxa"/>
            <w:bottom w:w="0" w:type="dxa"/>
            <w:right w:w="0" w:type="dxa"/>
          </w:tblCellMar>
        </w:tblPrEx>
        <w:trPr>
          <w:trHeight w:val="740" w:hRule="atLeast"/>
        </w:trPr>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2</w:t>
            </w:r>
          </w:p>
        </w:tc>
        <w:tc>
          <w:tcPr>
            <w:tcW w:w="23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具有全国优秀律师事务所荣誉，为大型合伙制律师事务所</w:t>
            </w:r>
          </w:p>
        </w:tc>
        <w:tc>
          <w:tcPr>
            <w:tcW w:w="5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sz w:val="24"/>
                <w:highlight w:val="none"/>
              </w:rPr>
            </w:pPr>
            <w:r>
              <w:rPr>
                <w:rFonts w:hint="eastAsia" w:ascii="仿宋" w:hAnsi="仿宋" w:eastAsia="仿宋" w:cs="仿宋"/>
                <w:kern w:val="0"/>
                <w:sz w:val="24"/>
                <w:highlight w:val="none"/>
                <w:lang w:bidi="ar"/>
              </w:rPr>
              <w:t>司法部、中华全国律师协会授予的荣誉，法律评级机构评选的榜单律所。获得荣誉或评为榜单律所的，每项分2分，最高以10分为限。</w:t>
            </w: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10分</w:t>
            </w:r>
          </w:p>
        </w:tc>
      </w:tr>
      <w:tr>
        <w:tblPrEx>
          <w:tblCellMar>
            <w:top w:w="0" w:type="dxa"/>
            <w:left w:w="0" w:type="dxa"/>
            <w:bottom w:w="0" w:type="dxa"/>
            <w:right w:w="0" w:type="dxa"/>
          </w:tblCellMar>
        </w:tblPrEx>
        <w:trPr>
          <w:trHeight w:val="620" w:hRule="atLeast"/>
        </w:trPr>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3</w:t>
            </w:r>
          </w:p>
        </w:tc>
        <w:tc>
          <w:tcPr>
            <w:tcW w:w="23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sz w:val="24"/>
                <w:highlight w:val="none"/>
              </w:rPr>
            </w:pPr>
            <w:r>
              <w:rPr>
                <w:rFonts w:hint="eastAsia" w:ascii="仿宋" w:hAnsi="仿宋" w:eastAsia="仿宋" w:cs="仿宋"/>
                <w:kern w:val="0"/>
                <w:sz w:val="24"/>
                <w:highlight w:val="none"/>
                <w:lang w:bidi="ar"/>
              </w:rPr>
              <w:t>律师事务所有为省、市政府机关提供法律服务经验</w:t>
            </w:r>
          </w:p>
        </w:tc>
        <w:tc>
          <w:tcPr>
            <w:tcW w:w="55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仿宋" w:hAnsi="仿宋" w:eastAsia="仿宋" w:cs="仿宋"/>
                <w:sz w:val="24"/>
                <w:highlight w:val="none"/>
              </w:rPr>
            </w:pPr>
            <w:r>
              <w:rPr>
                <w:rFonts w:hint="eastAsia" w:ascii="仿宋" w:hAnsi="仿宋" w:eastAsia="仿宋" w:cs="仿宋"/>
                <w:kern w:val="0"/>
                <w:sz w:val="24"/>
                <w:highlight w:val="none"/>
                <w:lang w:bidi="ar"/>
              </w:rPr>
              <w:t>近三年内担任一家省、市政府机关法律顾问的得1.5分；每增加一家得1.5分，最高以15分为限。（以合同、协议为准，同家单位多个合同、协议不叠加分）</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15分</w:t>
            </w:r>
          </w:p>
        </w:tc>
      </w:tr>
      <w:tr>
        <w:tblPrEx>
          <w:tblCellMar>
            <w:top w:w="0" w:type="dxa"/>
            <w:left w:w="0" w:type="dxa"/>
            <w:bottom w:w="0" w:type="dxa"/>
            <w:right w:w="0" w:type="dxa"/>
          </w:tblCellMar>
        </w:tblPrEx>
        <w:trPr>
          <w:trHeight w:val="680" w:hRule="atLeast"/>
        </w:trPr>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4</w:t>
            </w:r>
          </w:p>
        </w:tc>
        <w:tc>
          <w:tcPr>
            <w:tcW w:w="23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sz w:val="24"/>
                <w:highlight w:val="none"/>
              </w:rPr>
            </w:pPr>
            <w:r>
              <w:rPr>
                <w:rFonts w:hint="eastAsia" w:ascii="仿宋" w:hAnsi="仿宋" w:eastAsia="仿宋" w:cs="仿宋"/>
                <w:kern w:val="0"/>
                <w:sz w:val="24"/>
                <w:highlight w:val="none"/>
                <w:lang w:bidi="ar"/>
              </w:rPr>
              <w:t>律师事务所有为省、市及以上国有企业（独立法人）提供法律服务经验</w:t>
            </w:r>
          </w:p>
        </w:tc>
        <w:tc>
          <w:tcPr>
            <w:tcW w:w="55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仿宋" w:hAnsi="仿宋" w:eastAsia="仿宋" w:cs="仿宋"/>
                <w:sz w:val="24"/>
                <w:highlight w:val="none"/>
              </w:rPr>
            </w:pPr>
            <w:r>
              <w:rPr>
                <w:rStyle w:val="18"/>
                <w:rFonts w:hint="default"/>
                <w:color w:val="auto"/>
                <w:sz w:val="24"/>
                <w:szCs w:val="24"/>
                <w:highlight w:val="none"/>
                <w:lang w:bidi="ar"/>
              </w:rPr>
              <w:t>近三年</w:t>
            </w:r>
            <w:r>
              <w:rPr>
                <w:rFonts w:hint="eastAsia" w:ascii="仿宋" w:hAnsi="仿宋" w:eastAsia="仿宋" w:cs="仿宋"/>
                <w:kern w:val="0"/>
                <w:sz w:val="24"/>
                <w:highlight w:val="none"/>
                <w:lang w:bidi="ar"/>
              </w:rPr>
              <w:t>内担任一家省、市及以上国有企业（独立法人）法律顾问的得1.5分；每增加一家得1.5分，最高以15分为限。（以合同、协议为准，同家单位多个合同、协议不叠加分）</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15分</w:t>
            </w:r>
          </w:p>
        </w:tc>
      </w:tr>
      <w:tr>
        <w:tblPrEx>
          <w:tblCellMar>
            <w:top w:w="0" w:type="dxa"/>
            <w:left w:w="0" w:type="dxa"/>
            <w:bottom w:w="0" w:type="dxa"/>
            <w:right w:w="0" w:type="dxa"/>
          </w:tblCellMar>
        </w:tblPrEx>
        <w:trPr>
          <w:trHeight w:val="760" w:hRule="atLeast"/>
        </w:trPr>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5</w:t>
            </w:r>
          </w:p>
        </w:tc>
        <w:tc>
          <w:tcPr>
            <w:tcW w:w="23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sz w:val="24"/>
                <w:highlight w:val="none"/>
              </w:rPr>
            </w:pPr>
            <w:r>
              <w:rPr>
                <w:rFonts w:hint="eastAsia" w:ascii="仿宋" w:hAnsi="仿宋" w:eastAsia="仿宋" w:cs="仿宋"/>
                <w:kern w:val="0"/>
                <w:sz w:val="24"/>
                <w:highlight w:val="none"/>
                <w:lang w:bidi="ar"/>
              </w:rPr>
              <w:t>律师事务所</w:t>
            </w:r>
            <w:r>
              <w:rPr>
                <w:rStyle w:val="18"/>
                <w:rFonts w:hint="default"/>
                <w:color w:val="auto"/>
                <w:sz w:val="24"/>
                <w:szCs w:val="24"/>
                <w:highlight w:val="none"/>
                <w:lang w:bidi="ar"/>
              </w:rPr>
              <w:t>有企业投资并购、工程建设专项法律事务及案件诉讼经验。</w:t>
            </w:r>
          </w:p>
        </w:tc>
        <w:tc>
          <w:tcPr>
            <w:tcW w:w="5544" w:type="dxa"/>
            <w:tcBorders>
              <w:top w:val="nil"/>
              <w:left w:val="nil"/>
              <w:bottom w:val="nil"/>
              <w:right w:val="nil"/>
            </w:tcBorders>
            <w:noWrap/>
            <w:tcMar>
              <w:top w:w="12" w:type="dxa"/>
              <w:left w:w="12" w:type="dxa"/>
              <w:right w:w="12" w:type="dxa"/>
            </w:tcMar>
            <w:vAlign w:val="center"/>
          </w:tcPr>
          <w:p>
            <w:pPr>
              <w:widowControl/>
              <w:textAlignment w:val="center"/>
              <w:rPr>
                <w:rFonts w:ascii="仿宋" w:hAnsi="仿宋" w:eastAsia="仿宋" w:cs="仿宋"/>
                <w:sz w:val="24"/>
                <w:highlight w:val="none"/>
              </w:rPr>
            </w:pPr>
            <w:r>
              <w:rPr>
                <w:rFonts w:hint="eastAsia" w:ascii="仿宋" w:hAnsi="仿宋" w:eastAsia="仿宋" w:cs="仿宋"/>
                <w:kern w:val="0"/>
                <w:sz w:val="24"/>
                <w:highlight w:val="none"/>
                <w:lang w:bidi="ar"/>
              </w:rPr>
              <w:t>提供企业投资并购、工程建设专项法律事务服务协议或前述领域案件胜诉裁判文书的得1分；每增加一份，得1分，最高以10分为限。（以合同、协议或裁判文书为准，同家单位多个合同、协议或裁判文书不叠加分）</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10分</w:t>
            </w:r>
          </w:p>
        </w:tc>
      </w:tr>
      <w:tr>
        <w:tblPrEx>
          <w:tblCellMar>
            <w:top w:w="0" w:type="dxa"/>
            <w:left w:w="0" w:type="dxa"/>
            <w:bottom w:w="0" w:type="dxa"/>
            <w:right w:w="0" w:type="dxa"/>
          </w:tblCellMar>
        </w:tblPrEx>
        <w:trPr>
          <w:trHeight w:val="1140" w:hRule="atLeast"/>
        </w:trPr>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6</w:t>
            </w:r>
          </w:p>
        </w:tc>
        <w:tc>
          <w:tcPr>
            <w:tcW w:w="23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sz w:val="24"/>
                <w:highlight w:val="none"/>
              </w:rPr>
            </w:pPr>
            <w:r>
              <w:rPr>
                <w:rFonts w:hint="eastAsia" w:ascii="仿宋" w:hAnsi="仿宋" w:eastAsia="仿宋" w:cs="仿宋"/>
                <w:kern w:val="0"/>
                <w:sz w:val="24"/>
                <w:highlight w:val="none"/>
                <w:lang w:bidi="ar"/>
              </w:rPr>
              <w:t>律师团队负责人具有担任国有企业常年法律顾问经验。</w:t>
            </w:r>
          </w:p>
        </w:tc>
        <w:tc>
          <w:tcPr>
            <w:tcW w:w="55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textAlignment w:val="center"/>
              <w:rPr>
                <w:rFonts w:ascii="仿宋" w:hAnsi="仿宋" w:eastAsia="仿宋" w:cs="仿宋"/>
                <w:sz w:val="24"/>
                <w:highlight w:val="none"/>
              </w:rPr>
            </w:pPr>
            <w:r>
              <w:rPr>
                <w:rFonts w:hint="eastAsia" w:ascii="仿宋" w:hAnsi="仿宋" w:eastAsia="仿宋" w:cs="仿宋"/>
                <w:kern w:val="0"/>
                <w:sz w:val="24"/>
                <w:highlight w:val="none"/>
                <w:lang w:bidi="ar"/>
              </w:rPr>
              <w:t>律师团队负责人</w:t>
            </w:r>
            <w:r>
              <w:rPr>
                <w:rStyle w:val="18"/>
                <w:rFonts w:hint="default"/>
                <w:color w:val="auto"/>
                <w:sz w:val="24"/>
                <w:szCs w:val="24"/>
                <w:highlight w:val="none"/>
                <w:lang w:bidi="ar"/>
              </w:rPr>
              <w:t>近三年</w:t>
            </w:r>
            <w:r>
              <w:rPr>
                <w:rFonts w:hint="eastAsia" w:ascii="仿宋" w:hAnsi="仿宋" w:eastAsia="仿宋" w:cs="仿宋"/>
                <w:kern w:val="0"/>
                <w:sz w:val="24"/>
                <w:highlight w:val="none"/>
                <w:lang w:bidi="ar"/>
              </w:rPr>
              <w:t>内担任一家国有企业法律顾问的得1分；每增加一家得1分，最高以10分为限。（以合同、协议为准，同家单位多个合同、协议不叠加分））</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10分</w:t>
            </w:r>
          </w:p>
        </w:tc>
      </w:tr>
      <w:tr>
        <w:tblPrEx>
          <w:tblCellMar>
            <w:top w:w="0" w:type="dxa"/>
            <w:left w:w="0" w:type="dxa"/>
            <w:bottom w:w="0" w:type="dxa"/>
            <w:right w:w="0" w:type="dxa"/>
          </w:tblCellMar>
        </w:tblPrEx>
        <w:trPr>
          <w:trHeight w:val="800" w:hRule="atLeast"/>
        </w:trPr>
        <w:tc>
          <w:tcPr>
            <w:tcW w:w="622"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7</w:t>
            </w:r>
          </w:p>
        </w:tc>
        <w:tc>
          <w:tcPr>
            <w:tcW w:w="2376"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sz w:val="24"/>
                <w:highlight w:val="none"/>
              </w:rPr>
            </w:pPr>
            <w:r>
              <w:rPr>
                <w:rFonts w:hint="eastAsia" w:ascii="仿宋" w:hAnsi="仿宋" w:eastAsia="仿宋" w:cs="仿宋"/>
                <w:kern w:val="0"/>
                <w:sz w:val="24"/>
                <w:highlight w:val="none"/>
                <w:lang w:bidi="ar"/>
              </w:rPr>
              <w:t>提供完善合理的常年法律顾问服务方案。</w:t>
            </w:r>
          </w:p>
        </w:tc>
        <w:tc>
          <w:tcPr>
            <w:tcW w:w="5544"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textAlignment w:val="center"/>
              <w:rPr>
                <w:rFonts w:ascii="仿宋" w:hAnsi="仿宋" w:eastAsia="仿宋" w:cs="仿宋"/>
                <w:sz w:val="24"/>
                <w:highlight w:val="none"/>
              </w:rPr>
            </w:pPr>
            <w:r>
              <w:rPr>
                <w:rFonts w:hint="eastAsia" w:ascii="仿宋" w:hAnsi="仿宋" w:eastAsia="仿宋" w:cs="仿宋"/>
                <w:kern w:val="0"/>
                <w:sz w:val="24"/>
                <w:highlight w:val="none"/>
                <w:lang w:bidi="ar"/>
              </w:rPr>
              <w:t>方案是否完整、可靠，是否具有可操作性。是否具有国资管理、国有企业服务的优势。工作质量、服务保障措施是否健全。很好得8-10分，较好得5-8分，一般得3-5分，较差得0-3分。</w:t>
            </w:r>
          </w:p>
        </w:tc>
        <w:tc>
          <w:tcPr>
            <w:tcW w:w="900" w:type="dxa"/>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10分</w:t>
            </w:r>
          </w:p>
        </w:tc>
      </w:tr>
      <w:tr>
        <w:tblPrEx>
          <w:tblCellMar>
            <w:top w:w="0" w:type="dxa"/>
            <w:left w:w="0" w:type="dxa"/>
            <w:bottom w:w="0" w:type="dxa"/>
            <w:right w:w="0" w:type="dxa"/>
          </w:tblCellMar>
        </w:tblPrEx>
        <w:trPr>
          <w:trHeight w:val="580" w:hRule="atLeast"/>
        </w:trPr>
        <w:tc>
          <w:tcPr>
            <w:tcW w:w="6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8</w:t>
            </w:r>
          </w:p>
        </w:tc>
        <w:tc>
          <w:tcPr>
            <w:tcW w:w="23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sz w:val="24"/>
                <w:highlight w:val="none"/>
              </w:rPr>
            </w:pPr>
            <w:r>
              <w:rPr>
                <w:rFonts w:hint="eastAsia" w:ascii="仿宋" w:hAnsi="仿宋" w:eastAsia="仿宋" w:cs="仿宋"/>
                <w:kern w:val="0"/>
                <w:sz w:val="24"/>
                <w:highlight w:val="none"/>
                <w:lang w:bidi="ar"/>
              </w:rPr>
              <w:t>基本法律顾问费报价</w:t>
            </w:r>
          </w:p>
        </w:tc>
        <w:tc>
          <w:tcPr>
            <w:tcW w:w="554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sz w:val="24"/>
                <w:highlight w:val="none"/>
              </w:rPr>
            </w:pPr>
            <w:r>
              <w:rPr>
                <w:rFonts w:hint="eastAsia" w:ascii="仿宋" w:hAnsi="仿宋" w:eastAsia="仿宋" w:cs="仿宋"/>
                <w:kern w:val="0"/>
                <w:sz w:val="24"/>
                <w:highlight w:val="none"/>
                <w:lang w:bidi="ar"/>
              </w:rPr>
              <w:t>基本法律顾问费为每年25万元的得基本分6分，投标单位每让价5000元加0.5分，此项最高得10分。</w:t>
            </w:r>
          </w:p>
        </w:tc>
        <w:tc>
          <w:tcPr>
            <w:tcW w:w="9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10分</w:t>
            </w:r>
          </w:p>
        </w:tc>
      </w:tr>
      <w:tr>
        <w:tblPrEx>
          <w:tblCellMar>
            <w:top w:w="0" w:type="dxa"/>
            <w:left w:w="0" w:type="dxa"/>
            <w:bottom w:w="0" w:type="dxa"/>
            <w:right w:w="0" w:type="dxa"/>
          </w:tblCellMar>
        </w:tblPrEx>
        <w:trPr>
          <w:trHeight w:val="480" w:hRule="atLeast"/>
        </w:trPr>
        <w:tc>
          <w:tcPr>
            <w:tcW w:w="62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仿宋"/>
                <w:sz w:val="24"/>
                <w:highlight w:val="none"/>
              </w:rPr>
            </w:pPr>
          </w:p>
        </w:tc>
        <w:tc>
          <w:tcPr>
            <w:tcW w:w="2376"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合计</w:t>
            </w:r>
          </w:p>
        </w:tc>
        <w:tc>
          <w:tcPr>
            <w:tcW w:w="5544"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ascii="仿宋" w:hAnsi="仿宋" w:eastAsia="仿宋" w:cs="仿宋"/>
                <w:sz w:val="24"/>
                <w:highlight w:val="none"/>
              </w:rPr>
            </w:pPr>
          </w:p>
        </w:tc>
        <w:tc>
          <w:tcPr>
            <w:tcW w:w="900"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仿宋"/>
                <w:sz w:val="24"/>
                <w:highlight w:val="none"/>
              </w:rPr>
            </w:pPr>
            <w:r>
              <w:rPr>
                <w:rFonts w:hint="eastAsia" w:ascii="仿宋" w:hAnsi="仿宋" w:eastAsia="仿宋" w:cs="仿宋"/>
                <w:kern w:val="0"/>
                <w:sz w:val="24"/>
                <w:highlight w:val="none"/>
                <w:lang w:bidi="ar"/>
              </w:rPr>
              <w:t>100分</w:t>
            </w:r>
          </w:p>
        </w:tc>
      </w:tr>
    </w:tbl>
    <w:p>
      <w:pPr>
        <w:spacing w:line="500" w:lineRule="exact"/>
        <w:rPr>
          <w:rFonts w:ascii="仿宋" w:hAnsi="仿宋" w:eastAsia="仿宋" w:cs="仿宋"/>
          <w:sz w:val="32"/>
          <w:szCs w:val="28"/>
          <w:highlight w:val="none"/>
        </w:rPr>
      </w:pPr>
      <w:r>
        <w:rPr>
          <w:rFonts w:hint="eastAsia" w:ascii="仿宋" w:hAnsi="仿宋" w:eastAsia="仿宋" w:cs="仿宋"/>
          <w:sz w:val="32"/>
          <w:szCs w:val="28"/>
          <w:highlight w:val="none"/>
        </w:rPr>
        <w:t>注：</w:t>
      </w:r>
    </w:p>
    <w:p>
      <w:pPr>
        <w:numPr>
          <w:ilvl w:val="0"/>
          <w:numId w:val="28"/>
        </w:numPr>
        <w:spacing w:line="500" w:lineRule="exact"/>
        <w:outlineLvl w:val="3"/>
        <w:rPr>
          <w:rFonts w:ascii="仿宋" w:hAnsi="仿宋" w:eastAsia="仿宋" w:cs="仿宋"/>
          <w:sz w:val="32"/>
          <w:szCs w:val="28"/>
          <w:highlight w:val="none"/>
        </w:rPr>
      </w:pPr>
      <w:r>
        <w:rPr>
          <w:rFonts w:hint="eastAsia" w:ascii="仿宋" w:hAnsi="仿宋" w:eastAsia="仿宋" w:cs="仿宋"/>
          <w:sz w:val="32"/>
          <w:szCs w:val="28"/>
          <w:highlight w:val="none"/>
        </w:rPr>
        <w:t>评标表所涉的各项证明资料，投标人均应提供相应的原件以供审核，否则不计分值。</w:t>
      </w:r>
    </w:p>
    <w:p>
      <w:pPr>
        <w:numPr>
          <w:ilvl w:val="0"/>
          <w:numId w:val="29"/>
        </w:numPr>
        <w:outlineLvl w:val="3"/>
        <w:rPr>
          <w:rFonts w:ascii="仿宋_GB2312" w:hAnsi="仿宋_GB2312" w:eastAsia="仿宋" w:cs="仿宋_GB2312"/>
          <w:sz w:val="24"/>
          <w:highlight w:val="none"/>
        </w:rPr>
      </w:pPr>
      <w:r>
        <w:rPr>
          <w:rFonts w:hint="eastAsia" w:ascii="仿宋" w:hAnsi="仿宋" w:eastAsia="仿宋" w:cs="仿宋"/>
          <w:sz w:val="32"/>
          <w:highlight w:val="none"/>
        </w:rPr>
        <w:t>评标表3、4、5、6项中，投标人所提供的证明资料均不得重复，否则不计分值。</w:t>
      </w:r>
    </w:p>
    <w:p>
      <w:pPr>
        <w:numPr>
          <w:ilvl w:val="0"/>
          <w:numId w:val="30"/>
        </w:numPr>
        <w:adjustRightInd w:val="0"/>
        <w:spacing w:line="500" w:lineRule="exact"/>
        <w:ind w:firstLine="640" w:firstLineChars="200"/>
        <w:outlineLvl w:val="0"/>
        <w:rPr>
          <w:rFonts w:ascii="黑体" w:hAnsi="黑体" w:eastAsia="黑体" w:cs="黑体"/>
          <w:sz w:val="32"/>
          <w:szCs w:val="28"/>
          <w:highlight w:val="none"/>
        </w:rPr>
      </w:pPr>
      <w:bookmarkStart w:id="81" w:name="_Toc488"/>
      <w:r>
        <w:rPr>
          <w:rFonts w:hint="eastAsia" w:ascii="黑体" w:hAnsi="黑体" w:eastAsia="黑体" w:cs="黑体"/>
          <w:sz w:val="32"/>
          <w:szCs w:val="28"/>
          <w:highlight w:val="none"/>
        </w:rPr>
        <w:t>评分办法</w:t>
      </w:r>
      <w:bookmarkEnd w:id="81"/>
    </w:p>
    <w:p>
      <w:pPr>
        <w:spacing w:line="5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本次评审采用综合评分法。评审小组对满足招标文件实质性要求的投标申请文件，按本章节规定的评分标准进行打分，并按投标申请人的综合平均得分由高到低顺序推荐中标候选人。综合平均得分相等时，以投标价低的优先；投标报价也相等的，报院领导研究决定。</w:t>
      </w:r>
    </w:p>
    <w:p>
      <w:pPr>
        <w:numPr>
          <w:ilvl w:val="0"/>
          <w:numId w:val="31"/>
        </w:numPr>
        <w:adjustRightInd w:val="0"/>
        <w:spacing w:line="500" w:lineRule="exact"/>
        <w:ind w:firstLine="640" w:firstLineChars="200"/>
        <w:outlineLvl w:val="0"/>
        <w:rPr>
          <w:rFonts w:ascii="黑体" w:hAnsi="黑体" w:eastAsia="黑体" w:cs="黑体"/>
          <w:sz w:val="32"/>
          <w:szCs w:val="28"/>
          <w:highlight w:val="none"/>
        </w:rPr>
      </w:pPr>
      <w:bookmarkStart w:id="82" w:name="_Toc7008"/>
      <w:r>
        <w:rPr>
          <w:rFonts w:hint="eastAsia" w:ascii="黑体" w:hAnsi="黑体" w:eastAsia="黑体" w:cs="黑体"/>
          <w:sz w:val="32"/>
          <w:szCs w:val="28"/>
          <w:highlight w:val="none"/>
        </w:rPr>
        <w:t>评分结果</w:t>
      </w:r>
      <w:bookmarkEnd w:id="82"/>
    </w:p>
    <w:p>
      <w:pPr>
        <w:adjustRightInd w:val="0"/>
        <w:spacing w:line="500" w:lineRule="exact"/>
        <w:ind w:left="279" w:leftChars="133" w:firstLine="640" w:firstLineChars="200"/>
        <w:rPr>
          <w:rFonts w:ascii="仿宋" w:hAnsi="仿宋" w:eastAsia="仿宋" w:cs="仿宋"/>
          <w:sz w:val="32"/>
          <w:highlight w:val="none"/>
        </w:rPr>
      </w:pPr>
      <w:r>
        <w:rPr>
          <w:rFonts w:hint="eastAsia" w:ascii="仿宋" w:hAnsi="仿宋" w:eastAsia="仿宋" w:cs="仿宋"/>
          <w:sz w:val="32"/>
          <w:szCs w:val="28"/>
          <w:highlight w:val="none"/>
        </w:rPr>
        <w:t>评审小组成员按照前述评分办法的规定，独立评分并署名，并按综合平均得分由高到低的顺序进行择优，选定本项目中标人，经认定无误的中标人在官网公示。</w:t>
      </w:r>
    </w:p>
    <w:p>
      <w:pPr>
        <w:pStyle w:val="12"/>
        <w:spacing w:before="120" w:beforeAutospacing="0" w:after="0" w:afterAutospacing="0" w:line="460" w:lineRule="exact"/>
        <w:ind w:firstLine="640" w:firstLineChars="200"/>
        <w:outlineLvl w:val="0"/>
        <w:rPr>
          <w:rFonts w:ascii="仿宋" w:hAnsi="仿宋" w:eastAsia="仿宋" w:cs="仿宋"/>
          <w:sz w:val="32"/>
          <w:highlight w:val="none"/>
        </w:rPr>
        <w:sectPr>
          <w:pgSz w:w="11906" w:h="16838"/>
          <w:pgMar w:top="993" w:right="1274" w:bottom="1440" w:left="1800" w:header="851" w:footer="992" w:gutter="0"/>
          <w:cols w:space="720" w:num="1"/>
          <w:docGrid w:type="lines" w:linePitch="312" w:charSpace="0"/>
        </w:sectPr>
      </w:pPr>
      <w:bookmarkStart w:id="83" w:name="_Toc310"/>
    </w:p>
    <w:bookmarkEnd w:id="83"/>
    <w:p>
      <w:pPr>
        <w:pStyle w:val="12"/>
        <w:spacing w:before="120" w:beforeAutospacing="0" w:after="0" w:afterAutospacing="0" w:line="460" w:lineRule="exact"/>
        <w:jc w:val="center"/>
        <w:rPr>
          <w:rFonts w:ascii="方正小标宋简体" w:hAnsi="方正小标宋简体" w:eastAsia="方正小标宋简体" w:cs="方正小标宋简体"/>
          <w:color w:val="404040"/>
          <w:sz w:val="44"/>
          <w:highlight w:val="none"/>
        </w:rPr>
      </w:pPr>
      <w:bookmarkStart w:id="84" w:name="_Toc335"/>
      <w:bookmarkStart w:id="85" w:name="_Toc5087"/>
      <w:r>
        <w:rPr>
          <w:rFonts w:hint="eastAsia" w:ascii="方正小标宋简体" w:hAnsi="方正小标宋简体" w:eastAsia="方正小标宋简体" w:cs="方正小标宋简体"/>
          <w:sz w:val="44"/>
          <w:szCs w:val="44"/>
          <w:highlight w:val="none"/>
        </w:rPr>
        <w:t>第四章、投标文件格</w:t>
      </w:r>
      <w:bookmarkEnd w:id="84"/>
      <w:r>
        <w:rPr>
          <w:rFonts w:hint="eastAsia" w:ascii="方正小标宋简体" w:hAnsi="方正小标宋简体" w:eastAsia="方正小标宋简体" w:cs="方正小标宋简体"/>
          <w:sz w:val="44"/>
          <w:szCs w:val="44"/>
          <w:highlight w:val="none"/>
        </w:rPr>
        <w:t>式</w:t>
      </w:r>
      <w:bookmarkEnd w:id="85"/>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一、填写须知</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1、格式中要求填写的全部问题和信息都必须填写。没有的须进行文字说明。</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2、参与投标人应保证资料和填写的内容是真实和正确的。</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3、参与投标的投标人提交的资料将被保密，但不退还。</w:t>
      </w:r>
    </w:p>
    <w:p>
      <w:pPr>
        <w:pStyle w:val="4"/>
        <w:numPr>
          <w:ilvl w:val="0"/>
          <w:numId w:val="32"/>
        </w:numPr>
        <w:spacing w:before="0" w:after="0" w:line="520" w:lineRule="exact"/>
        <w:ind w:firstLine="640" w:firstLineChars="200"/>
        <w:rPr>
          <w:rFonts w:ascii="仿宋" w:hAnsi="仿宋" w:eastAsia="仿宋" w:cs="仿宋"/>
          <w:b w:val="0"/>
          <w:bCs w:val="0"/>
          <w:highlight w:val="none"/>
        </w:rPr>
      </w:pPr>
      <w:r>
        <w:rPr>
          <w:rFonts w:hint="eastAsia" w:ascii="仿宋" w:hAnsi="仿宋" w:eastAsia="仿宋" w:cs="仿宋"/>
          <w:b w:val="0"/>
          <w:bCs w:val="0"/>
          <w:highlight w:val="none"/>
        </w:rPr>
        <w:t>所有投标文件均需加盖公章，否则为无效投标文件。</w:t>
      </w:r>
    </w:p>
    <w:p>
      <w:pPr>
        <w:adjustRightInd w:val="0"/>
        <w:spacing w:line="520" w:lineRule="exact"/>
        <w:ind w:firstLine="640" w:firstLineChars="200"/>
        <w:rPr>
          <w:rFonts w:ascii="仿宋" w:hAnsi="仿宋" w:eastAsia="仿宋" w:cs="仿宋"/>
          <w:color w:val="FF0000"/>
          <w:sz w:val="32"/>
          <w:highlight w:val="none"/>
        </w:rPr>
      </w:pPr>
      <w:r>
        <w:rPr>
          <w:rFonts w:hint="eastAsia" w:ascii="仿宋" w:hAnsi="仿宋" w:eastAsia="仿宋" w:cs="仿宋"/>
          <w:sz w:val="32"/>
          <w:highlight w:val="none"/>
        </w:rPr>
        <w:t>为了便于评审小组评审，投标申请人编制并提交的投标文件应该按照以下要求进行制作装订,投标文件需编制目录及页码，无目录及页码的投标文件为无效投标文件。</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投标人须携带以下所有资料原件，以供现场评审检查。</w:t>
      </w:r>
    </w:p>
    <w:p>
      <w:pPr>
        <w:numPr>
          <w:ilvl w:val="0"/>
          <w:numId w:val="33"/>
        </w:numPr>
        <w:adjustRightInd w:val="0"/>
        <w:spacing w:line="520" w:lineRule="exact"/>
        <w:ind w:firstLine="640" w:firstLineChars="200"/>
        <w:outlineLvl w:val="2"/>
        <w:rPr>
          <w:rFonts w:ascii="仿宋" w:hAnsi="仿宋" w:eastAsia="仿宋" w:cs="仿宋"/>
          <w:sz w:val="32"/>
          <w:highlight w:val="none"/>
        </w:rPr>
      </w:pPr>
      <w:bookmarkStart w:id="86" w:name="_Toc4677"/>
      <w:r>
        <w:rPr>
          <w:rFonts w:hint="eastAsia" w:ascii="仿宋" w:hAnsi="仿宋" w:eastAsia="仿宋" w:cs="仿宋"/>
          <w:sz w:val="32"/>
          <w:highlight w:val="none"/>
        </w:rPr>
        <w:t>投标文件封面</w:t>
      </w:r>
      <w:bookmarkEnd w:id="86"/>
    </w:p>
    <w:p>
      <w:pPr>
        <w:numPr>
          <w:ilvl w:val="0"/>
          <w:numId w:val="33"/>
        </w:numPr>
        <w:adjustRightInd w:val="0"/>
        <w:spacing w:line="520" w:lineRule="exact"/>
        <w:ind w:firstLine="640" w:firstLineChars="200"/>
        <w:outlineLvl w:val="2"/>
        <w:rPr>
          <w:rFonts w:ascii="仿宋" w:hAnsi="仿宋" w:eastAsia="仿宋" w:cs="仿宋"/>
          <w:sz w:val="32"/>
          <w:highlight w:val="none"/>
        </w:rPr>
      </w:pPr>
      <w:bookmarkStart w:id="87" w:name="_Toc11099"/>
      <w:r>
        <w:rPr>
          <w:rFonts w:hint="eastAsia" w:ascii="仿宋" w:hAnsi="仿宋" w:eastAsia="仿宋" w:cs="仿宋"/>
          <w:sz w:val="32"/>
          <w:highlight w:val="none"/>
        </w:rPr>
        <w:t>投标文件目录（索引）</w:t>
      </w:r>
      <w:bookmarkEnd w:id="87"/>
    </w:p>
    <w:p>
      <w:pPr>
        <w:numPr>
          <w:ilvl w:val="0"/>
          <w:numId w:val="33"/>
        </w:numPr>
        <w:adjustRightInd w:val="0"/>
        <w:spacing w:line="520" w:lineRule="exact"/>
        <w:ind w:firstLine="640" w:firstLineChars="200"/>
        <w:outlineLvl w:val="2"/>
        <w:rPr>
          <w:rFonts w:ascii="仿宋" w:hAnsi="仿宋" w:eastAsia="仿宋" w:cs="仿宋"/>
          <w:sz w:val="32"/>
          <w:highlight w:val="none"/>
        </w:rPr>
      </w:pPr>
      <w:bookmarkStart w:id="88" w:name="_Toc20410"/>
      <w:r>
        <w:rPr>
          <w:rFonts w:hint="eastAsia" w:ascii="仿宋" w:hAnsi="仿宋" w:eastAsia="仿宋" w:cs="仿宋"/>
          <w:sz w:val="32"/>
          <w:highlight w:val="none"/>
        </w:rPr>
        <w:t>投标函（式样见附件1）</w:t>
      </w:r>
      <w:bookmarkEnd w:id="88"/>
    </w:p>
    <w:p>
      <w:pPr>
        <w:numPr>
          <w:ilvl w:val="0"/>
          <w:numId w:val="33"/>
        </w:numPr>
        <w:adjustRightInd w:val="0"/>
        <w:spacing w:line="520" w:lineRule="exact"/>
        <w:ind w:firstLine="640" w:firstLineChars="200"/>
        <w:outlineLvl w:val="2"/>
        <w:rPr>
          <w:rFonts w:ascii="仿宋" w:hAnsi="仿宋" w:eastAsia="仿宋" w:cs="仿宋"/>
          <w:sz w:val="32"/>
          <w:highlight w:val="none"/>
        </w:rPr>
      </w:pPr>
      <w:bookmarkStart w:id="89" w:name="_Toc6381"/>
      <w:r>
        <w:rPr>
          <w:rFonts w:hint="eastAsia" w:ascii="仿宋" w:hAnsi="仿宋" w:eastAsia="仿宋" w:cs="仿宋"/>
          <w:sz w:val="32"/>
          <w:highlight w:val="none"/>
        </w:rPr>
        <w:t>法定代表人身份证明（式样见附件2）、法定代表人授权书（式样见附件3）</w:t>
      </w:r>
      <w:bookmarkEnd w:id="89"/>
    </w:p>
    <w:p>
      <w:pPr>
        <w:numPr>
          <w:ilvl w:val="0"/>
          <w:numId w:val="33"/>
        </w:numPr>
        <w:adjustRightInd w:val="0"/>
        <w:spacing w:line="520" w:lineRule="exact"/>
        <w:ind w:firstLine="640" w:firstLineChars="200"/>
        <w:outlineLvl w:val="2"/>
        <w:rPr>
          <w:rFonts w:ascii="仿宋" w:hAnsi="仿宋" w:eastAsia="仿宋" w:cs="仿宋"/>
          <w:sz w:val="32"/>
          <w:highlight w:val="none"/>
        </w:rPr>
      </w:pPr>
      <w:bookmarkStart w:id="90" w:name="_Toc19151"/>
      <w:r>
        <w:rPr>
          <w:rFonts w:hint="eastAsia" w:ascii="仿宋" w:hAnsi="仿宋" w:eastAsia="仿宋" w:cs="仿宋"/>
          <w:sz w:val="32"/>
          <w:highlight w:val="none"/>
        </w:rPr>
        <w:t>律师事务所简介（式样见附件4，可另附文字说明）、资质证件、营业执照（正、副本）</w:t>
      </w:r>
      <w:bookmarkEnd w:id="90"/>
    </w:p>
    <w:p>
      <w:pPr>
        <w:numPr>
          <w:ilvl w:val="0"/>
          <w:numId w:val="33"/>
        </w:numPr>
        <w:adjustRightInd w:val="0"/>
        <w:spacing w:line="520" w:lineRule="exact"/>
        <w:ind w:firstLine="640" w:firstLineChars="200"/>
        <w:outlineLvl w:val="2"/>
        <w:rPr>
          <w:rFonts w:ascii="仿宋" w:hAnsi="仿宋" w:eastAsia="仿宋" w:cs="仿宋"/>
          <w:sz w:val="32"/>
          <w:highlight w:val="none"/>
        </w:rPr>
      </w:pPr>
      <w:bookmarkStart w:id="91" w:name="_Toc15206"/>
      <w:r>
        <w:rPr>
          <w:rFonts w:hint="eastAsia" w:ascii="仿宋" w:hAnsi="仿宋" w:eastAsia="仿宋" w:cs="仿宋"/>
          <w:sz w:val="32"/>
          <w:highlight w:val="none"/>
        </w:rPr>
        <w:t>律师事务所所有专职律师执业年度考核结果；</w:t>
      </w:r>
      <w:bookmarkEnd w:id="91"/>
    </w:p>
    <w:p>
      <w:pPr>
        <w:numPr>
          <w:ilvl w:val="0"/>
          <w:numId w:val="33"/>
        </w:numPr>
        <w:adjustRightInd w:val="0"/>
        <w:spacing w:line="520" w:lineRule="exact"/>
        <w:ind w:firstLine="640" w:firstLineChars="200"/>
        <w:outlineLvl w:val="2"/>
        <w:rPr>
          <w:rFonts w:ascii="仿宋" w:hAnsi="仿宋" w:eastAsia="仿宋" w:cs="仿宋"/>
          <w:sz w:val="32"/>
          <w:highlight w:val="none"/>
        </w:rPr>
      </w:pPr>
      <w:bookmarkStart w:id="92" w:name="_Toc13732"/>
      <w:bookmarkStart w:id="93" w:name="_Toc2779"/>
      <w:r>
        <w:rPr>
          <w:rFonts w:hint="eastAsia" w:ascii="仿宋" w:hAnsi="仿宋" w:eastAsia="仿宋" w:cs="仿宋"/>
          <w:color w:val="404040"/>
          <w:sz w:val="32"/>
          <w:highlight w:val="none"/>
        </w:rPr>
        <w:t>近三年财务审计报告；</w:t>
      </w:r>
    </w:p>
    <w:p>
      <w:pPr>
        <w:numPr>
          <w:ilvl w:val="0"/>
          <w:numId w:val="33"/>
        </w:numPr>
        <w:adjustRightInd w:val="0"/>
        <w:spacing w:line="520" w:lineRule="exact"/>
        <w:ind w:firstLine="640" w:firstLineChars="200"/>
        <w:outlineLvl w:val="2"/>
        <w:rPr>
          <w:rFonts w:ascii="仿宋" w:hAnsi="仿宋" w:eastAsia="仿宋" w:cs="仿宋"/>
          <w:sz w:val="32"/>
          <w:highlight w:val="none"/>
        </w:rPr>
      </w:pPr>
      <w:r>
        <w:rPr>
          <w:rFonts w:hint="eastAsia" w:ascii="仿宋" w:hAnsi="仿宋" w:eastAsia="仿宋" w:cs="仿宋"/>
          <w:color w:val="404040"/>
          <w:sz w:val="32"/>
          <w:highlight w:val="none"/>
        </w:rPr>
        <w:t>律师事务所党建工作及获得荣誉情况；</w:t>
      </w:r>
      <w:bookmarkEnd w:id="92"/>
    </w:p>
    <w:bookmarkEnd w:id="93"/>
    <w:p>
      <w:pPr>
        <w:numPr>
          <w:ilvl w:val="0"/>
          <w:numId w:val="33"/>
        </w:numPr>
        <w:adjustRightInd w:val="0"/>
        <w:spacing w:line="520" w:lineRule="exact"/>
        <w:ind w:firstLine="640" w:firstLineChars="200"/>
        <w:outlineLvl w:val="2"/>
        <w:rPr>
          <w:rFonts w:ascii="仿宋" w:hAnsi="仿宋" w:eastAsia="仿宋" w:cs="仿宋"/>
          <w:sz w:val="32"/>
          <w:highlight w:val="none"/>
        </w:rPr>
      </w:pPr>
      <w:bookmarkStart w:id="94" w:name="_Toc30863"/>
      <w:bookmarkStart w:id="95" w:name="_Toc23804"/>
      <w:r>
        <w:rPr>
          <w:rFonts w:hint="eastAsia" w:ascii="仿宋" w:hAnsi="仿宋" w:eastAsia="仿宋" w:cs="仿宋"/>
          <w:color w:val="404040"/>
          <w:sz w:val="32"/>
          <w:highlight w:val="none"/>
        </w:rPr>
        <w:t>律师事务所获得的荣誉及相关证明材料；</w:t>
      </w:r>
      <w:bookmarkEnd w:id="94"/>
    </w:p>
    <w:p>
      <w:pPr>
        <w:numPr>
          <w:ilvl w:val="0"/>
          <w:numId w:val="33"/>
        </w:numPr>
        <w:adjustRightInd w:val="0"/>
        <w:spacing w:line="520" w:lineRule="exact"/>
        <w:ind w:firstLine="640" w:firstLineChars="200"/>
        <w:outlineLvl w:val="2"/>
        <w:rPr>
          <w:rFonts w:ascii="仿宋" w:hAnsi="仿宋" w:eastAsia="仿宋" w:cs="仿宋"/>
          <w:sz w:val="32"/>
          <w:highlight w:val="none"/>
        </w:rPr>
      </w:pPr>
      <w:r>
        <w:rPr>
          <w:rFonts w:hint="eastAsia" w:ascii="仿宋" w:hAnsi="仿宋" w:eastAsia="仿宋" w:cs="仿宋"/>
          <w:sz w:val="32"/>
          <w:highlight w:val="none"/>
        </w:rPr>
        <w:t>类似业绩。（式样见附件5）</w:t>
      </w:r>
    </w:p>
    <w:p>
      <w:pPr>
        <w:numPr>
          <w:ilvl w:val="1"/>
          <w:numId w:val="33"/>
        </w:numPr>
        <w:tabs>
          <w:tab w:val="left" w:pos="420"/>
          <w:tab w:val="clear" w:pos="840"/>
        </w:tabs>
        <w:adjustRightInd w:val="0"/>
        <w:spacing w:line="520" w:lineRule="exact"/>
        <w:ind w:left="420" w:firstLine="640" w:firstLineChars="200"/>
        <w:outlineLvl w:val="2"/>
        <w:rPr>
          <w:highlight w:val="none"/>
        </w:rPr>
      </w:pPr>
      <w:r>
        <w:rPr>
          <w:rFonts w:hint="eastAsia" w:ascii="仿宋" w:hAnsi="仿宋" w:eastAsia="仿宋" w:cs="仿宋"/>
          <w:color w:val="404040"/>
          <w:sz w:val="32"/>
          <w:highlight w:val="none"/>
        </w:rPr>
        <w:t>近三年</w:t>
      </w:r>
      <w:r>
        <w:rPr>
          <w:rFonts w:hint="eastAsia" w:ascii="仿宋" w:hAnsi="仿宋" w:eastAsia="仿宋" w:cs="仿宋"/>
          <w:sz w:val="32"/>
          <w:highlight w:val="none"/>
        </w:rPr>
        <w:t>（2019年以来）</w:t>
      </w:r>
      <w:r>
        <w:rPr>
          <w:rFonts w:hint="eastAsia" w:ascii="仿宋" w:hAnsi="仿宋" w:eastAsia="仿宋" w:cs="仿宋"/>
          <w:color w:val="404040"/>
          <w:sz w:val="32"/>
          <w:highlight w:val="none"/>
        </w:rPr>
        <w:t>为省、市政府机关提供法律顾问服务相关证明</w:t>
      </w:r>
      <w:r>
        <w:rPr>
          <w:rFonts w:hint="eastAsia" w:ascii="仿宋" w:hAnsi="仿宋" w:eastAsia="仿宋" w:cs="仿宋"/>
          <w:sz w:val="32"/>
          <w:highlight w:val="none"/>
        </w:rPr>
        <w:t>材料（以服务协议、中标通知书为准）</w:t>
      </w:r>
      <w:r>
        <w:rPr>
          <w:rFonts w:hint="eastAsia" w:ascii="仿宋" w:hAnsi="仿宋" w:eastAsia="仿宋" w:cs="仿宋"/>
          <w:color w:val="404040"/>
          <w:sz w:val="32"/>
          <w:highlight w:val="none"/>
        </w:rPr>
        <w:t>；</w:t>
      </w:r>
    </w:p>
    <w:p>
      <w:pPr>
        <w:numPr>
          <w:ilvl w:val="1"/>
          <w:numId w:val="33"/>
        </w:numPr>
        <w:tabs>
          <w:tab w:val="left" w:pos="420"/>
          <w:tab w:val="clear" w:pos="840"/>
        </w:tabs>
        <w:adjustRightInd w:val="0"/>
        <w:spacing w:line="520" w:lineRule="exact"/>
        <w:ind w:left="420" w:firstLine="640" w:firstLineChars="200"/>
        <w:outlineLvl w:val="2"/>
        <w:rPr>
          <w:rFonts w:ascii="仿宋" w:hAnsi="仿宋" w:eastAsia="仿宋" w:cs="仿宋"/>
          <w:sz w:val="32"/>
          <w:highlight w:val="none"/>
        </w:rPr>
      </w:pPr>
      <w:r>
        <w:rPr>
          <w:rFonts w:hint="eastAsia" w:ascii="仿宋" w:hAnsi="仿宋" w:eastAsia="仿宋" w:cs="仿宋"/>
          <w:color w:val="404040"/>
          <w:sz w:val="32"/>
          <w:highlight w:val="none"/>
        </w:rPr>
        <w:t>近三年</w:t>
      </w:r>
      <w:r>
        <w:rPr>
          <w:rFonts w:hint="eastAsia" w:ascii="仿宋" w:hAnsi="仿宋" w:eastAsia="仿宋" w:cs="仿宋"/>
          <w:sz w:val="32"/>
          <w:highlight w:val="none"/>
        </w:rPr>
        <w:t>（2019年以来）</w:t>
      </w:r>
      <w:r>
        <w:rPr>
          <w:rFonts w:hint="eastAsia" w:ascii="仿宋" w:hAnsi="仿宋" w:eastAsia="仿宋" w:cs="仿宋"/>
          <w:color w:val="404040"/>
          <w:sz w:val="32"/>
          <w:highlight w:val="none"/>
        </w:rPr>
        <w:t>为省、市及以上国有企业提供法律顾问服务相关证明</w:t>
      </w:r>
      <w:r>
        <w:rPr>
          <w:rFonts w:hint="eastAsia" w:ascii="仿宋" w:hAnsi="仿宋" w:eastAsia="仿宋" w:cs="仿宋"/>
          <w:sz w:val="32"/>
          <w:highlight w:val="none"/>
        </w:rPr>
        <w:t>材料（以服务协议、中标通知书为准）</w:t>
      </w:r>
      <w:r>
        <w:rPr>
          <w:rFonts w:hint="eastAsia" w:ascii="仿宋" w:hAnsi="仿宋" w:eastAsia="仿宋" w:cs="仿宋"/>
          <w:color w:val="404040"/>
          <w:sz w:val="32"/>
          <w:highlight w:val="none"/>
        </w:rPr>
        <w:t>；</w:t>
      </w:r>
    </w:p>
    <w:p>
      <w:pPr>
        <w:numPr>
          <w:ilvl w:val="1"/>
          <w:numId w:val="33"/>
        </w:numPr>
        <w:tabs>
          <w:tab w:val="left" w:pos="420"/>
          <w:tab w:val="clear" w:pos="840"/>
        </w:tabs>
        <w:adjustRightInd w:val="0"/>
        <w:spacing w:line="520" w:lineRule="exact"/>
        <w:ind w:left="420" w:firstLine="640" w:firstLineChars="200"/>
        <w:outlineLvl w:val="2"/>
        <w:rPr>
          <w:rFonts w:ascii="仿宋" w:hAnsi="仿宋" w:eastAsia="仿宋" w:cs="仿宋"/>
          <w:sz w:val="32"/>
          <w:highlight w:val="none"/>
        </w:rPr>
      </w:pPr>
      <w:r>
        <w:rPr>
          <w:rFonts w:hint="eastAsia" w:ascii="仿宋" w:hAnsi="仿宋" w:eastAsia="仿宋" w:cs="仿宋"/>
          <w:sz w:val="32"/>
          <w:highlight w:val="none"/>
        </w:rPr>
        <w:t>关于企业投资并购、工程建设专项法律事务及案件胜诉证明材料（以服务协议或相关法院裁判文书为准）；</w:t>
      </w:r>
      <w:bookmarkEnd w:id="95"/>
      <w:bookmarkStart w:id="96" w:name="_Toc15848"/>
    </w:p>
    <w:bookmarkEnd w:id="96"/>
    <w:p>
      <w:pPr>
        <w:numPr>
          <w:ilvl w:val="0"/>
          <w:numId w:val="33"/>
        </w:numPr>
        <w:adjustRightInd w:val="0"/>
        <w:spacing w:line="520" w:lineRule="exact"/>
        <w:ind w:firstLine="640" w:firstLineChars="200"/>
        <w:outlineLvl w:val="2"/>
        <w:rPr>
          <w:rFonts w:ascii="仿宋" w:hAnsi="仿宋" w:eastAsia="仿宋" w:cs="仿宋"/>
          <w:sz w:val="32"/>
          <w:highlight w:val="none"/>
        </w:rPr>
      </w:pPr>
      <w:bookmarkStart w:id="97" w:name="_Toc22979"/>
      <w:r>
        <w:rPr>
          <w:rFonts w:hint="eastAsia" w:ascii="仿宋" w:hAnsi="仿宋" w:eastAsia="仿宋" w:cs="仿宋"/>
          <w:sz w:val="32"/>
          <w:highlight w:val="none"/>
        </w:rPr>
        <w:t>提供法律服务律师团队情况。包括律师团队及团队负责人情况介绍、团队律师的执业证照和团队律师近三年为</w:t>
      </w:r>
      <w:r>
        <w:rPr>
          <w:rFonts w:hint="eastAsia" w:ascii="仿宋" w:hAnsi="仿宋" w:eastAsia="仿宋" w:cs="仿宋"/>
          <w:color w:val="404040"/>
          <w:sz w:val="32"/>
          <w:highlight w:val="none"/>
        </w:rPr>
        <w:t>省、市及以上</w:t>
      </w:r>
      <w:r>
        <w:rPr>
          <w:rFonts w:hint="eastAsia" w:ascii="仿宋" w:hAnsi="仿宋" w:eastAsia="仿宋" w:cs="仿宋"/>
          <w:sz w:val="32"/>
          <w:highlight w:val="none"/>
        </w:rPr>
        <w:t>国有企业提供法律顾问服务的证明文件（以服务协议为准，且协议中明确该派出律师为顾问律师），式样详见附件6。</w:t>
      </w:r>
    </w:p>
    <w:bookmarkEnd w:id="97"/>
    <w:p>
      <w:pPr>
        <w:numPr>
          <w:ilvl w:val="0"/>
          <w:numId w:val="33"/>
        </w:numPr>
        <w:adjustRightInd w:val="0"/>
        <w:spacing w:line="520" w:lineRule="exact"/>
        <w:ind w:firstLine="640" w:firstLineChars="200"/>
        <w:outlineLvl w:val="2"/>
        <w:rPr>
          <w:rFonts w:ascii="仿宋" w:hAnsi="仿宋" w:eastAsia="仿宋" w:cs="仿宋"/>
          <w:sz w:val="32"/>
          <w:highlight w:val="none"/>
        </w:rPr>
      </w:pPr>
      <w:bookmarkStart w:id="98" w:name="_Toc20141"/>
      <w:r>
        <w:rPr>
          <w:rFonts w:hint="eastAsia" w:ascii="仿宋" w:hAnsi="仿宋" w:eastAsia="仿宋" w:cs="仿宋"/>
          <w:sz w:val="32"/>
          <w:highlight w:val="none"/>
        </w:rPr>
        <w:t>服务方案</w:t>
      </w:r>
      <w:bookmarkEnd w:id="98"/>
    </w:p>
    <w:p>
      <w:pPr>
        <w:numPr>
          <w:ilvl w:val="0"/>
          <w:numId w:val="33"/>
        </w:numPr>
        <w:adjustRightInd w:val="0"/>
        <w:spacing w:line="520" w:lineRule="exact"/>
        <w:ind w:firstLine="640" w:firstLineChars="200"/>
        <w:outlineLvl w:val="2"/>
        <w:rPr>
          <w:rFonts w:ascii="仿宋" w:hAnsi="仿宋" w:eastAsia="仿宋" w:cs="仿宋"/>
          <w:sz w:val="32"/>
          <w:highlight w:val="none"/>
        </w:rPr>
      </w:pPr>
      <w:bookmarkStart w:id="99" w:name="_Toc9699"/>
      <w:r>
        <w:rPr>
          <w:rFonts w:hint="eastAsia" w:ascii="仿宋" w:hAnsi="仿宋" w:eastAsia="仿宋" w:cs="仿宋"/>
          <w:sz w:val="32"/>
          <w:highlight w:val="none"/>
        </w:rPr>
        <w:t>提供近年来没有重大违法记录的声明函（加盖公章）。在经营活动中没有重大违法记录，且未受行政处罚，未被列入重大税收违法案件当事人名单。</w:t>
      </w:r>
    </w:p>
    <w:p>
      <w:pPr>
        <w:numPr>
          <w:ilvl w:val="0"/>
          <w:numId w:val="33"/>
        </w:numPr>
        <w:adjustRightInd w:val="0"/>
        <w:spacing w:line="520" w:lineRule="exact"/>
        <w:ind w:firstLine="640" w:firstLineChars="200"/>
        <w:outlineLvl w:val="2"/>
        <w:rPr>
          <w:rFonts w:ascii="仿宋" w:hAnsi="仿宋" w:eastAsia="仿宋" w:cs="仿宋"/>
          <w:sz w:val="32"/>
          <w:szCs w:val="36"/>
          <w:highlight w:val="none"/>
        </w:rPr>
      </w:pPr>
      <w:bookmarkStart w:id="100" w:name="_Toc9005"/>
      <w:r>
        <w:rPr>
          <w:rFonts w:hint="eastAsia" w:ascii="仿宋" w:hAnsi="仿宋" w:eastAsia="仿宋" w:cs="仿宋"/>
          <w:sz w:val="32"/>
          <w:highlight w:val="none"/>
        </w:rPr>
        <w:t>法律顾问费用报价函（式样详见附件7）</w:t>
      </w:r>
      <w:bookmarkEnd w:id="100"/>
    </w:p>
    <w:p>
      <w:pPr>
        <w:numPr>
          <w:ilvl w:val="0"/>
          <w:numId w:val="33"/>
        </w:numPr>
        <w:adjustRightInd w:val="0"/>
        <w:spacing w:line="520" w:lineRule="exact"/>
        <w:ind w:firstLine="640" w:firstLineChars="200"/>
        <w:outlineLvl w:val="2"/>
        <w:rPr>
          <w:rFonts w:ascii="仿宋" w:hAnsi="仿宋" w:eastAsia="仿宋" w:cs="仿宋"/>
          <w:sz w:val="32"/>
          <w:szCs w:val="36"/>
          <w:highlight w:val="none"/>
        </w:rPr>
      </w:pPr>
      <w:r>
        <w:rPr>
          <w:rFonts w:hint="eastAsia" w:ascii="仿宋" w:hAnsi="仿宋" w:eastAsia="仿宋" w:cs="仿宋"/>
          <w:color w:val="404040"/>
          <w:sz w:val="32"/>
          <w:highlight w:val="none"/>
        </w:rPr>
        <w:t>投标人承诺函（</w:t>
      </w:r>
      <w:r>
        <w:rPr>
          <w:rFonts w:hint="eastAsia" w:ascii="仿宋" w:hAnsi="仿宋" w:eastAsia="仿宋" w:cs="仿宋"/>
          <w:sz w:val="32"/>
          <w:highlight w:val="none"/>
        </w:rPr>
        <w:t>式样</w:t>
      </w:r>
      <w:r>
        <w:rPr>
          <w:rFonts w:hint="eastAsia" w:ascii="仿宋" w:hAnsi="仿宋" w:eastAsia="仿宋" w:cs="仿宋"/>
          <w:color w:val="404040"/>
          <w:sz w:val="32"/>
          <w:highlight w:val="none"/>
        </w:rPr>
        <w:t>详见附件8）</w:t>
      </w:r>
      <w:bookmarkEnd w:id="99"/>
    </w:p>
    <w:p>
      <w:pPr>
        <w:numPr>
          <w:ilvl w:val="0"/>
          <w:numId w:val="33"/>
        </w:numPr>
        <w:adjustRightInd w:val="0"/>
        <w:spacing w:line="520" w:lineRule="exact"/>
        <w:ind w:firstLine="640" w:firstLineChars="200"/>
        <w:outlineLvl w:val="2"/>
        <w:rPr>
          <w:rFonts w:ascii="仿宋" w:hAnsi="仿宋" w:eastAsia="仿宋" w:cs="仿宋"/>
          <w:sz w:val="32"/>
          <w:szCs w:val="36"/>
          <w:highlight w:val="none"/>
        </w:rPr>
      </w:pPr>
      <w:bookmarkStart w:id="101" w:name="_Toc3916"/>
      <w:r>
        <w:rPr>
          <w:rFonts w:hint="eastAsia" w:ascii="仿宋" w:hAnsi="仿宋" w:eastAsia="仿宋" w:cs="仿宋"/>
          <w:color w:val="404040"/>
          <w:sz w:val="32"/>
          <w:highlight w:val="none"/>
        </w:rPr>
        <w:t>聘请常年法律顾问协议书（</w:t>
      </w:r>
      <w:r>
        <w:rPr>
          <w:rFonts w:hint="eastAsia" w:ascii="仿宋" w:hAnsi="仿宋" w:eastAsia="仿宋" w:cs="仿宋"/>
          <w:sz w:val="32"/>
          <w:highlight w:val="none"/>
        </w:rPr>
        <w:t>式样</w:t>
      </w:r>
      <w:r>
        <w:rPr>
          <w:rFonts w:hint="eastAsia" w:ascii="仿宋" w:hAnsi="仿宋" w:eastAsia="仿宋" w:cs="仿宋"/>
          <w:color w:val="404040"/>
          <w:sz w:val="32"/>
          <w:highlight w:val="none"/>
        </w:rPr>
        <w:t>见附件9）</w:t>
      </w:r>
      <w:bookmarkEnd w:id="101"/>
    </w:p>
    <w:p>
      <w:pPr>
        <w:pStyle w:val="2"/>
        <w:rPr>
          <w:highlight w:val="none"/>
        </w:rPr>
      </w:pPr>
    </w:p>
    <w:p>
      <w:pPr>
        <w:pStyle w:val="2"/>
        <w:rPr>
          <w:highlight w:val="none"/>
        </w:rPr>
      </w:pPr>
    </w:p>
    <w:p>
      <w:pPr>
        <w:spacing w:line="540" w:lineRule="exact"/>
        <w:ind w:firstLine="643" w:firstLineChars="200"/>
        <w:outlineLvl w:val="2"/>
        <w:rPr>
          <w:rFonts w:ascii="仿宋" w:hAnsi="仿宋" w:eastAsia="仿宋" w:cs="仿宋"/>
          <w:b/>
          <w:bCs/>
          <w:kern w:val="0"/>
          <w:sz w:val="32"/>
          <w:szCs w:val="28"/>
          <w:highlight w:val="none"/>
        </w:rPr>
      </w:pPr>
    </w:p>
    <w:p>
      <w:pPr>
        <w:spacing w:line="540" w:lineRule="exact"/>
        <w:rPr>
          <w:rFonts w:ascii="仿宋_GB2312" w:hAnsi="仿宋_GB2312" w:eastAsia="仿宋" w:cs="仿宋_GB2312"/>
          <w:sz w:val="28"/>
          <w:szCs w:val="28"/>
          <w:highlight w:val="none"/>
        </w:rPr>
      </w:pPr>
    </w:p>
    <w:p>
      <w:pPr>
        <w:spacing w:line="540" w:lineRule="exact"/>
        <w:rPr>
          <w:rFonts w:ascii="仿宋_GB2312" w:hAnsi="仿宋_GB2312" w:eastAsia="仿宋" w:cs="仿宋_GB2312"/>
          <w:sz w:val="28"/>
          <w:szCs w:val="28"/>
          <w:highlight w:val="none"/>
        </w:rPr>
      </w:pPr>
    </w:p>
    <w:p>
      <w:pPr>
        <w:pStyle w:val="17"/>
        <w:rPr>
          <w:rFonts w:ascii="仿宋_GB2312" w:hAnsi="仿宋_GB2312" w:eastAsia="仿宋" w:cs="仿宋_GB2312"/>
          <w:sz w:val="28"/>
          <w:szCs w:val="28"/>
          <w:highlight w:val="none"/>
        </w:rPr>
      </w:pPr>
    </w:p>
    <w:p>
      <w:pPr>
        <w:pStyle w:val="8"/>
        <w:rPr>
          <w:rFonts w:ascii="仿宋_GB2312" w:hAnsi="仿宋_GB2312" w:eastAsia="仿宋" w:cs="仿宋_GB2312"/>
          <w:color w:val="auto"/>
          <w:sz w:val="28"/>
          <w:szCs w:val="28"/>
          <w:highlight w:val="none"/>
        </w:rPr>
      </w:pPr>
    </w:p>
    <w:p>
      <w:pPr>
        <w:pStyle w:val="8"/>
        <w:rPr>
          <w:rFonts w:ascii="仿宋_GB2312" w:hAnsi="仿宋_GB2312" w:eastAsia="仿宋" w:cs="仿宋_GB2312"/>
          <w:color w:val="auto"/>
          <w:sz w:val="28"/>
          <w:szCs w:val="28"/>
          <w:highlight w:val="none"/>
        </w:rPr>
      </w:pPr>
    </w:p>
    <w:p>
      <w:pPr>
        <w:pStyle w:val="8"/>
        <w:rPr>
          <w:rFonts w:ascii="仿宋_GB2312" w:hAnsi="仿宋_GB2312" w:eastAsia="仿宋" w:cs="仿宋_GB2312"/>
          <w:color w:val="auto"/>
          <w:sz w:val="28"/>
          <w:szCs w:val="28"/>
          <w:highlight w:val="none"/>
        </w:rPr>
      </w:pPr>
    </w:p>
    <w:p>
      <w:pPr>
        <w:pStyle w:val="8"/>
        <w:rPr>
          <w:rFonts w:ascii="仿宋_GB2312" w:hAnsi="仿宋_GB2312" w:eastAsia="仿宋" w:cs="仿宋_GB2312"/>
          <w:color w:val="auto"/>
          <w:sz w:val="28"/>
          <w:szCs w:val="28"/>
          <w:highlight w:val="none"/>
        </w:rPr>
      </w:pPr>
    </w:p>
    <w:p>
      <w:pPr>
        <w:pStyle w:val="3"/>
        <w:jc w:val="center"/>
        <w:rPr>
          <w:rFonts w:ascii="方正小标宋简体" w:hAnsi="方正小标宋简体" w:eastAsia="方正小标宋简体" w:cs="方正小标宋简体"/>
          <w:szCs w:val="32"/>
          <w:highlight w:val="none"/>
        </w:rPr>
      </w:pPr>
      <w:bookmarkStart w:id="102" w:name="_Toc1905"/>
      <w:bookmarkStart w:id="103" w:name="_Toc26591"/>
      <w:bookmarkStart w:id="104" w:name="_Toc10848"/>
      <w:bookmarkStart w:id="105" w:name="_Toc24929"/>
      <w:r>
        <w:rPr>
          <w:rFonts w:hint="eastAsia" w:ascii="方正小标宋简体" w:hAnsi="方正小标宋简体" w:eastAsia="方正小标宋简体" w:cs="方正小标宋简体"/>
          <w:szCs w:val="32"/>
          <w:highlight w:val="none"/>
        </w:rPr>
        <w:t>投标函部分格</w:t>
      </w:r>
      <w:bookmarkEnd w:id="102"/>
      <w:r>
        <w:rPr>
          <w:rFonts w:hint="eastAsia" w:ascii="方正小标宋简体" w:hAnsi="方正小标宋简体" w:eastAsia="方正小标宋简体" w:cs="方正小标宋简体"/>
          <w:szCs w:val="32"/>
          <w:highlight w:val="none"/>
        </w:rPr>
        <w:t>式</w:t>
      </w:r>
      <w:bookmarkEnd w:id="103"/>
      <w:bookmarkEnd w:id="104"/>
    </w:p>
    <w:p>
      <w:pPr>
        <w:jc w:val="center"/>
        <w:rPr>
          <w:rFonts w:ascii="仿宋" w:hAnsi="仿宋" w:eastAsia="仿宋" w:cs="仿宋"/>
          <w:color w:val="000000"/>
          <w:sz w:val="32"/>
          <w:highlight w:val="none"/>
        </w:rPr>
      </w:pPr>
      <w:bookmarkStart w:id="106" w:name="_Toc19071"/>
      <w:r>
        <w:rPr>
          <w:rFonts w:hint="eastAsia" w:ascii="仿宋" w:hAnsi="仿宋" w:eastAsia="仿宋" w:cs="仿宋"/>
          <w:b/>
          <w:bCs/>
          <w:sz w:val="32"/>
          <w:highlight w:val="none"/>
        </w:rPr>
        <w:t>附件1：</w:t>
      </w:r>
      <w:bookmarkEnd w:id="106"/>
      <w:r>
        <w:rPr>
          <w:rFonts w:hint="eastAsia" w:ascii="仿宋" w:hAnsi="仿宋" w:eastAsia="仿宋" w:cs="仿宋"/>
          <w:b/>
          <w:bCs/>
          <w:sz w:val="32"/>
          <w:szCs w:val="28"/>
          <w:highlight w:val="none"/>
        </w:rPr>
        <w:t>投标函</w:t>
      </w:r>
    </w:p>
    <w:p>
      <w:pPr>
        <w:adjustRightInd w:val="0"/>
        <w:spacing w:line="520" w:lineRule="exact"/>
        <w:rPr>
          <w:rFonts w:ascii="仿宋" w:hAnsi="仿宋" w:eastAsia="仿宋" w:cs="仿宋"/>
          <w:sz w:val="32"/>
          <w:highlight w:val="none"/>
        </w:rPr>
      </w:pPr>
      <w:r>
        <w:rPr>
          <w:rFonts w:hint="eastAsia" w:ascii="仿宋" w:hAnsi="仿宋" w:eastAsia="仿宋" w:cs="仿宋"/>
          <w:color w:val="000000"/>
          <w:sz w:val="32"/>
          <w:highlight w:val="none"/>
        </w:rPr>
        <w:t>致</w:t>
      </w:r>
      <w:r>
        <w:rPr>
          <w:rFonts w:hint="eastAsia" w:ascii="仿宋" w:hAnsi="仿宋" w:eastAsia="仿宋" w:cs="仿宋"/>
          <w:sz w:val="32"/>
          <w:highlight w:val="none"/>
        </w:rPr>
        <w:t>：</w:t>
      </w:r>
    </w:p>
    <w:p>
      <w:pPr>
        <w:adjustRightInd w:val="0"/>
        <w:spacing w:line="520" w:lineRule="exact"/>
        <w:ind w:left="420" w:leftChars="200"/>
        <w:rPr>
          <w:rFonts w:ascii="仿宋" w:hAnsi="仿宋" w:eastAsia="仿宋" w:cs="仿宋"/>
          <w:sz w:val="32"/>
          <w:highlight w:val="none"/>
        </w:rPr>
      </w:pPr>
      <w:r>
        <w:rPr>
          <w:rFonts w:hint="eastAsia" w:ascii="仿宋" w:hAnsi="仿宋" w:eastAsia="仿宋" w:cs="仿宋"/>
          <w:color w:val="000000"/>
          <w:sz w:val="32"/>
          <w:highlight w:val="none"/>
          <w:lang w:bidi="ar"/>
        </w:rPr>
        <w:t>我是</w:t>
      </w:r>
      <w:r>
        <w:rPr>
          <w:rFonts w:hint="eastAsia" w:ascii="仿宋" w:hAnsi="仿宋" w:eastAsia="仿宋" w:cs="仿宋"/>
          <w:color w:val="000000"/>
          <w:sz w:val="32"/>
          <w:highlight w:val="none"/>
          <w:u w:val="single"/>
          <w:lang w:bidi="ar"/>
        </w:rPr>
        <w:t xml:space="preserve">      </w:t>
      </w:r>
      <w:r>
        <w:rPr>
          <w:rFonts w:hint="eastAsia" w:ascii="仿宋" w:hAnsi="仿宋" w:eastAsia="仿宋" w:cs="仿宋"/>
          <w:color w:val="000000"/>
          <w:sz w:val="32"/>
          <w:highlight w:val="none"/>
          <w:lang w:bidi="ar"/>
        </w:rPr>
        <w:t>，系</w:t>
      </w:r>
      <w:r>
        <w:rPr>
          <w:rFonts w:hint="eastAsia" w:ascii="仿宋" w:hAnsi="仿宋" w:eastAsia="仿宋" w:cs="仿宋"/>
          <w:color w:val="000000"/>
          <w:sz w:val="32"/>
          <w:highlight w:val="none"/>
          <w:u w:val="single"/>
          <w:lang w:bidi="ar"/>
        </w:rPr>
        <w:t xml:space="preserve">                     </w:t>
      </w:r>
      <w:r>
        <w:rPr>
          <w:rFonts w:hint="eastAsia" w:ascii="仿宋" w:hAnsi="仿宋" w:eastAsia="仿宋" w:cs="仿宋"/>
          <w:color w:val="000000"/>
          <w:sz w:val="32"/>
          <w:highlight w:val="none"/>
          <w:lang w:bidi="ar"/>
        </w:rPr>
        <w:t>法定代表人，依据贵方项目投标函,现正式授权</w:t>
      </w:r>
      <w:r>
        <w:rPr>
          <w:rFonts w:hint="eastAsia" w:ascii="仿宋" w:hAnsi="仿宋" w:eastAsia="仿宋" w:cs="仿宋"/>
          <w:color w:val="000000"/>
          <w:sz w:val="32"/>
          <w:highlight w:val="none"/>
          <w:u w:val="single"/>
          <w:lang w:bidi="ar"/>
        </w:rPr>
        <w:t xml:space="preserve">        </w:t>
      </w:r>
      <w:r>
        <w:rPr>
          <w:rFonts w:hint="eastAsia" w:ascii="仿宋" w:hAnsi="仿宋" w:eastAsia="仿宋" w:cs="仿宋"/>
          <w:color w:val="000000"/>
          <w:sz w:val="32"/>
          <w:highlight w:val="none"/>
          <w:lang w:bidi="ar"/>
        </w:rPr>
        <w:t>代表我单位提交项目的文件正本</w:t>
      </w:r>
      <w:r>
        <w:rPr>
          <w:rFonts w:hint="eastAsia" w:ascii="仿宋" w:hAnsi="仿宋" w:eastAsia="仿宋" w:cs="仿宋"/>
          <w:color w:val="000000"/>
          <w:sz w:val="32"/>
          <w:highlight w:val="none"/>
          <w:u w:val="single"/>
        </w:rPr>
        <w:t>壹</w:t>
      </w:r>
      <w:r>
        <w:rPr>
          <w:rFonts w:hint="eastAsia" w:ascii="仿宋" w:hAnsi="仿宋" w:eastAsia="仿宋" w:cs="仿宋"/>
          <w:color w:val="000000"/>
          <w:sz w:val="32"/>
          <w:highlight w:val="none"/>
          <w:lang w:bidi="ar"/>
        </w:rPr>
        <w:t>份，副本</w:t>
      </w:r>
      <w:r>
        <w:rPr>
          <w:rFonts w:hint="eastAsia" w:ascii="仿宋" w:hAnsi="仿宋" w:eastAsia="仿宋" w:cs="仿宋"/>
          <w:color w:val="000000"/>
          <w:sz w:val="32"/>
          <w:highlight w:val="none"/>
          <w:u w:val="single"/>
          <w:lang w:bidi="ar"/>
        </w:rPr>
        <w:t>壹</w:t>
      </w:r>
      <w:r>
        <w:rPr>
          <w:rFonts w:hint="eastAsia" w:ascii="仿宋" w:hAnsi="仿宋" w:eastAsia="仿宋" w:cs="仿宋"/>
          <w:color w:val="000000"/>
          <w:sz w:val="32"/>
          <w:highlight w:val="none"/>
          <w:lang w:bidi="ar"/>
        </w:rPr>
        <w:t>份，电子文件</w:t>
      </w:r>
      <w:r>
        <w:rPr>
          <w:rFonts w:hint="eastAsia" w:ascii="仿宋" w:hAnsi="仿宋" w:eastAsia="仿宋" w:cs="仿宋"/>
          <w:color w:val="000000"/>
          <w:sz w:val="32"/>
          <w:highlight w:val="none"/>
          <w:u w:val="single"/>
        </w:rPr>
        <w:t>壹</w:t>
      </w:r>
      <w:r>
        <w:rPr>
          <w:rFonts w:hint="eastAsia" w:ascii="仿宋" w:hAnsi="仿宋" w:eastAsia="仿宋" w:cs="仿宋"/>
          <w:color w:val="000000"/>
          <w:sz w:val="32"/>
          <w:highlight w:val="none"/>
          <w:lang w:bidi="ar"/>
        </w:rPr>
        <w:t>份。在此，我方宣布同意如下:</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color w:val="000000"/>
          <w:sz w:val="32"/>
          <w:highlight w:val="none"/>
          <w:lang w:bidi="ar"/>
        </w:rPr>
        <w:t>1.我方将按照招标文件的规定提供并运送到指定地点。</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color w:val="000000"/>
          <w:sz w:val="32"/>
          <w:highlight w:val="none"/>
          <w:lang w:bidi="ar"/>
        </w:rPr>
        <w:t>2.我方将按照招标文件的规定，履行合同责任和义务。</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color w:val="000000"/>
          <w:sz w:val="32"/>
          <w:highlight w:val="none"/>
          <w:lang w:bidi="ar"/>
        </w:rPr>
        <w:t>3.我方已详细阅读了招标文件内容，包括修改文件（如果有的话）以及全部资料和有关附件，我们完全理解并同意放弃对这方面有不明确及误解的权利。</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color w:val="000000"/>
          <w:sz w:val="32"/>
          <w:highlight w:val="none"/>
          <w:lang w:bidi="ar"/>
        </w:rPr>
        <w:t>4.投标文件自开启之日起</w:t>
      </w:r>
      <w:r>
        <w:rPr>
          <w:rFonts w:hint="eastAsia" w:ascii="仿宋" w:hAnsi="仿宋" w:eastAsia="仿宋" w:cs="仿宋"/>
          <w:color w:val="000000"/>
          <w:sz w:val="32"/>
          <w:highlight w:val="none"/>
          <w:u w:val="single"/>
          <w:lang w:bidi="ar"/>
        </w:rPr>
        <w:t>60</w:t>
      </w:r>
      <w:r>
        <w:rPr>
          <w:rFonts w:hint="eastAsia" w:ascii="仿宋" w:hAnsi="仿宋" w:eastAsia="仿宋" w:cs="仿宋"/>
          <w:color w:val="000000"/>
          <w:sz w:val="32"/>
          <w:highlight w:val="none"/>
          <w:lang w:bidi="ar"/>
        </w:rPr>
        <w:t>日内有效。</w:t>
      </w:r>
    </w:p>
    <w:p>
      <w:pPr>
        <w:adjustRightInd w:val="0"/>
        <w:spacing w:line="520" w:lineRule="exact"/>
        <w:ind w:firstLine="640" w:firstLineChars="200"/>
        <w:rPr>
          <w:rFonts w:ascii="仿宋" w:hAnsi="仿宋" w:eastAsia="仿宋" w:cs="仿宋"/>
          <w:sz w:val="32"/>
          <w:highlight w:val="none"/>
        </w:rPr>
      </w:pPr>
      <w:r>
        <w:rPr>
          <w:rFonts w:hint="eastAsia" w:ascii="仿宋" w:hAnsi="仿宋" w:eastAsia="仿宋" w:cs="仿宋"/>
          <w:color w:val="000000"/>
          <w:sz w:val="32"/>
          <w:highlight w:val="none"/>
          <w:lang w:bidi="ar"/>
        </w:rPr>
        <w:t>5.招标活动后如果成交，我方同意满足招标文件的一切要求，若贵方发现我方提供虚假资料，同意贵方取消成交投标申请人资格。</w:t>
      </w:r>
    </w:p>
    <w:p>
      <w:pPr>
        <w:adjustRightInd w:val="0"/>
        <w:spacing w:line="520" w:lineRule="exact"/>
        <w:ind w:firstLine="640" w:firstLineChars="200"/>
        <w:rPr>
          <w:rFonts w:ascii="仿宋" w:hAnsi="仿宋" w:eastAsia="仿宋" w:cs="仿宋"/>
          <w:color w:val="000000"/>
          <w:sz w:val="32"/>
          <w:highlight w:val="none"/>
          <w:lang w:bidi="ar"/>
        </w:rPr>
      </w:pPr>
      <w:r>
        <w:rPr>
          <w:rFonts w:hint="eastAsia" w:ascii="仿宋" w:hAnsi="仿宋" w:eastAsia="仿宋" w:cs="仿宋"/>
          <w:color w:val="000000"/>
          <w:sz w:val="32"/>
          <w:highlight w:val="none"/>
          <w:lang w:bidi="ar"/>
        </w:rPr>
        <w:t>6.与本投标活动有关的一切正式往来通讯请寄：</w:t>
      </w:r>
    </w:p>
    <w:p>
      <w:pPr>
        <w:adjustRightInd w:val="0"/>
        <w:spacing w:line="520" w:lineRule="exact"/>
        <w:ind w:firstLine="640" w:firstLineChars="200"/>
        <w:rPr>
          <w:rFonts w:ascii="仿宋" w:hAnsi="仿宋" w:eastAsia="仿宋" w:cs="仿宋"/>
          <w:color w:val="000000"/>
          <w:sz w:val="32"/>
          <w:highlight w:val="none"/>
          <w:lang w:bidi="ar"/>
        </w:rPr>
      </w:pPr>
      <w:r>
        <w:rPr>
          <w:rFonts w:hint="eastAsia" w:ascii="仿宋" w:hAnsi="仿宋" w:eastAsia="仿宋" w:cs="仿宋"/>
          <w:color w:val="000000"/>
          <w:sz w:val="32"/>
          <w:highlight w:val="none"/>
          <w:lang w:bidi="ar"/>
        </w:rPr>
        <w:t>地址：                      邮编：</w:t>
      </w:r>
    </w:p>
    <w:p>
      <w:pPr>
        <w:adjustRightInd w:val="0"/>
        <w:spacing w:line="520" w:lineRule="exact"/>
        <w:ind w:firstLine="640" w:firstLineChars="200"/>
        <w:rPr>
          <w:rFonts w:ascii="仿宋" w:hAnsi="仿宋" w:eastAsia="仿宋" w:cs="仿宋"/>
          <w:color w:val="000000"/>
          <w:sz w:val="32"/>
          <w:highlight w:val="none"/>
          <w:u w:val="single"/>
        </w:rPr>
      </w:pPr>
      <w:r>
        <w:rPr>
          <w:rFonts w:hint="eastAsia" w:ascii="仿宋" w:hAnsi="仿宋" w:eastAsia="仿宋" w:cs="仿宋"/>
          <w:color w:val="000000"/>
          <w:sz w:val="32"/>
          <w:highlight w:val="none"/>
          <w:lang w:bidi="ar"/>
        </w:rPr>
        <w:t>电话：                      传真：</w:t>
      </w:r>
    </w:p>
    <w:p>
      <w:pPr>
        <w:adjustRightInd w:val="0"/>
        <w:spacing w:line="520" w:lineRule="exact"/>
        <w:ind w:firstLine="640" w:firstLineChars="200"/>
        <w:rPr>
          <w:rFonts w:ascii="仿宋" w:hAnsi="仿宋" w:eastAsia="仿宋" w:cs="仿宋"/>
          <w:color w:val="000000"/>
          <w:sz w:val="32"/>
          <w:highlight w:val="none"/>
          <w:lang w:bidi="ar"/>
        </w:rPr>
      </w:pPr>
      <w:r>
        <w:rPr>
          <w:rFonts w:hint="eastAsia" w:ascii="仿宋" w:hAnsi="仿宋" w:eastAsia="仿宋" w:cs="仿宋"/>
          <w:color w:val="000000"/>
          <w:sz w:val="32"/>
          <w:highlight w:val="none"/>
          <w:lang w:bidi="ar"/>
        </w:rPr>
        <w:t>投标申请人单位名称（公章:）</w:t>
      </w:r>
    </w:p>
    <w:p>
      <w:pPr>
        <w:adjustRightInd w:val="0"/>
        <w:spacing w:line="520" w:lineRule="exact"/>
        <w:ind w:firstLine="640" w:firstLineChars="200"/>
        <w:rPr>
          <w:rFonts w:ascii="仿宋" w:hAnsi="仿宋" w:eastAsia="仿宋" w:cs="仿宋"/>
          <w:color w:val="000000"/>
          <w:sz w:val="32"/>
          <w:highlight w:val="none"/>
          <w:lang w:bidi="ar"/>
        </w:rPr>
      </w:pPr>
      <w:r>
        <w:rPr>
          <w:rFonts w:hint="eastAsia" w:ascii="仿宋" w:hAnsi="仿宋" w:eastAsia="仿宋" w:cs="仿宋"/>
          <w:color w:val="000000"/>
          <w:sz w:val="32"/>
          <w:highlight w:val="none"/>
          <w:lang w:bidi="ar"/>
        </w:rPr>
        <w:t>法定代表人签字:</w:t>
      </w:r>
    </w:p>
    <w:p>
      <w:pPr>
        <w:adjustRightInd w:val="0"/>
        <w:spacing w:line="520" w:lineRule="exact"/>
        <w:ind w:firstLine="640" w:firstLineChars="200"/>
        <w:rPr>
          <w:rFonts w:ascii="仿宋" w:hAnsi="仿宋" w:eastAsia="仿宋" w:cs="仿宋"/>
          <w:color w:val="000000"/>
          <w:sz w:val="32"/>
          <w:highlight w:val="none"/>
          <w:u w:val="single"/>
        </w:rPr>
      </w:pPr>
      <w:r>
        <w:rPr>
          <w:rFonts w:hint="eastAsia" w:ascii="仿宋" w:hAnsi="仿宋" w:eastAsia="仿宋" w:cs="仿宋"/>
          <w:color w:val="000000"/>
          <w:sz w:val="32"/>
          <w:highlight w:val="none"/>
          <w:lang w:bidi="ar"/>
        </w:rPr>
        <w:t>授权代表签字：</w:t>
      </w:r>
    </w:p>
    <w:p>
      <w:pPr>
        <w:adjustRightInd w:val="0"/>
        <w:spacing w:line="520" w:lineRule="exact"/>
        <w:ind w:firstLine="640" w:firstLineChars="200"/>
        <w:rPr>
          <w:rFonts w:ascii="仿宋" w:hAnsi="仿宋" w:eastAsia="仿宋" w:cs="仿宋"/>
          <w:b/>
          <w:sz w:val="32"/>
          <w:highlight w:val="none"/>
        </w:rPr>
        <w:sectPr>
          <w:pgSz w:w="11906" w:h="16838"/>
          <w:pgMar w:top="993" w:right="1274" w:bottom="1440" w:left="1800" w:header="851" w:footer="992" w:gutter="0"/>
          <w:cols w:space="720" w:num="1"/>
          <w:docGrid w:type="lines" w:linePitch="312" w:charSpace="0"/>
        </w:sectPr>
      </w:pPr>
      <w:r>
        <w:rPr>
          <w:rFonts w:hint="eastAsia" w:ascii="仿宋" w:hAnsi="仿宋" w:eastAsia="仿宋" w:cs="仿宋"/>
          <w:color w:val="000000"/>
          <w:sz w:val="32"/>
          <w:highlight w:val="none"/>
          <w:lang w:bidi="ar"/>
        </w:rPr>
        <w:t>日期:   年   月   日</w:t>
      </w:r>
      <w:bookmarkEnd w:id="105"/>
    </w:p>
    <w:p>
      <w:pPr>
        <w:rPr>
          <w:rFonts w:ascii="仿宋" w:hAnsi="仿宋" w:eastAsia="仿宋" w:cs="仿宋"/>
          <w:b/>
          <w:bCs/>
          <w:sz w:val="32"/>
          <w:szCs w:val="40"/>
          <w:highlight w:val="none"/>
        </w:rPr>
      </w:pPr>
    </w:p>
    <w:p>
      <w:pPr>
        <w:jc w:val="center"/>
        <w:rPr>
          <w:rFonts w:ascii="仿宋" w:hAnsi="仿宋" w:eastAsia="仿宋" w:cs="仿宋"/>
          <w:b/>
          <w:bCs/>
          <w:sz w:val="32"/>
          <w:szCs w:val="40"/>
          <w:highlight w:val="none"/>
        </w:rPr>
      </w:pPr>
      <w:r>
        <w:rPr>
          <w:rFonts w:hint="eastAsia" w:ascii="仿宋" w:hAnsi="仿宋" w:eastAsia="仿宋" w:cs="仿宋"/>
          <w:b/>
          <w:bCs/>
          <w:sz w:val="32"/>
          <w:szCs w:val="40"/>
          <w:highlight w:val="none"/>
        </w:rPr>
        <w:t>附件2：法定代表人身份证明书</w:t>
      </w:r>
    </w:p>
    <w:p>
      <w:pPr>
        <w:pStyle w:val="5"/>
        <w:ind w:left="420" w:leftChars="200"/>
        <w:rPr>
          <w:rFonts w:ascii="仿宋" w:hAnsi="仿宋" w:eastAsia="仿宋" w:cs="仿宋"/>
          <w:sz w:val="32"/>
          <w:highlight w:val="none"/>
        </w:rPr>
      </w:pPr>
      <w:r>
        <w:rPr>
          <w:rFonts w:hint="eastAsia" w:ascii="仿宋" w:hAnsi="仿宋" w:eastAsia="仿宋" w:cs="仿宋"/>
          <w:sz w:val="32"/>
          <w:highlight w:val="none"/>
        </w:rPr>
        <w:t>投标人名称：</w:t>
      </w:r>
    </w:p>
    <w:p>
      <w:pPr>
        <w:pStyle w:val="5"/>
        <w:ind w:left="420" w:leftChars="200"/>
        <w:rPr>
          <w:rFonts w:ascii="仿宋" w:hAnsi="仿宋" w:eastAsia="仿宋" w:cs="仿宋"/>
          <w:sz w:val="32"/>
          <w:highlight w:val="none"/>
        </w:rPr>
      </w:pPr>
      <w:r>
        <w:rPr>
          <w:rFonts w:hint="eastAsia" w:ascii="仿宋" w:hAnsi="仿宋" w:eastAsia="仿宋" w:cs="仿宋"/>
          <w:sz w:val="32"/>
          <w:highlight w:val="none"/>
        </w:rPr>
        <w:t>单位性质：</w:t>
      </w:r>
    </w:p>
    <w:p>
      <w:pPr>
        <w:pStyle w:val="5"/>
        <w:ind w:left="420" w:leftChars="200"/>
        <w:rPr>
          <w:rFonts w:ascii="仿宋" w:hAnsi="仿宋" w:eastAsia="仿宋" w:cs="仿宋"/>
          <w:sz w:val="32"/>
          <w:highlight w:val="none"/>
        </w:rPr>
      </w:pPr>
      <w:r>
        <w:rPr>
          <w:rFonts w:hint="eastAsia" w:ascii="仿宋" w:hAnsi="仿宋" w:eastAsia="仿宋" w:cs="仿宋"/>
          <w:sz w:val="32"/>
          <w:highlight w:val="none"/>
        </w:rPr>
        <w:t>地址：</w:t>
      </w:r>
    </w:p>
    <w:p>
      <w:pPr>
        <w:pStyle w:val="5"/>
        <w:ind w:left="420" w:leftChars="200"/>
        <w:rPr>
          <w:rFonts w:ascii="仿宋" w:hAnsi="仿宋" w:eastAsia="仿宋" w:cs="仿宋"/>
          <w:sz w:val="32"/>
          <w:highlight w:val="none"/>
        </w:rPr>
      </w:pPr>
      <w:r>
        <w:rPr>
          <w:rFonts w:hint="eastAsia" w:ascii="仿宋" w:hAnsi="仿宋" w:eastAsia="仿宋" w:cs="仿宋"/>
          <w:sz w:val="32"/>
          <w:highlight w:val="none"/>
        </w:rPr>
        <w:t>成立时间：   年   月   日        经营期限：</w:t>
      </w:r>
    </w:p>
    <w:p>
      <w:pPr>
        <w:pStyle w:val="5"/>
        <w:ind w:left="420" w:leftChars="200"/>
        <w:rPr>
          <w:rFonts w:ascii="仿宋" w:hAnsi="仿宋" w:eastAsia="仿宋" w:cs="仿宋"/>
          <w:sz w:val="32"/>
          <w:highlight w:val="none"/>
        </w:rPr>
      </w:pPr>
      <w:r>
        <w:rPr>
          <w:rFonts w:hint="eastAsia" w:ascii="仿宋" w:hAnsi="仿宋" w:eastAsia="仿宋" w:cs="仿宋"/>
          <w:sz w:val="32"/>
          <w:highlight w:val="none"/>
        </w:rPr>
        <w:t>姓名：                           性别：</w:t>
      </w:r>
    </w:p>
    <w:p>
      <w:pPr>
        <w:pStyle w:val="5"/>
        <w:ind w:left="420" w:leftChars="200"/>
        <w:rPr>
          <w:rFonts w:ascii="仿宋" w:hAnsi="仿宋" w:eastAsia="仿宋" w:cs="仿宋"/>
          <w:sz w:val="32"/>
          <w:highlight w:val="none"/>
        </w:rPr>
      </w:pPr>
      <w:r>
        <w:rPr>
          <w:rFonts w:hint="eastAsia" w:ascii="仿宋" w:hAnsi="仿宋" w:eastAsia="仿宋" w:cs="仿宋"/>
          <w:sz w:val="32"/>
          <w:highlight w:val="none"/>
        </w:rPr>
        <w:t>年龄：                           职务：</w:t>
      </w:r>
    </w:p>
    <w:p>
      <w:pPr>
        <w:pStyle w:val="5"/>
        <w:ind w:left="420" w:leftChars="200"/>
        <w:rPr>
          <w:rFonts w:ascii="仿宋" w:hAnsi="仿宋" w:eastAsia="仿宋" w:cs="仿宋"/>
          <w:sz w:val="32"/>
          <w:highlight w:val="none"/>
        </w:rPr>
      </w:pPr>
      <w:r>
        <w:rPr>
          <w:rFonts w:hint="eastAsia" w:ascii="仿宋" w:hAnsi="仿宋" w:eastAsia="仿宋" w:cs="仿宋"/>
          <w:sz w:val="32"/>
          <w:highlight w:val="none"/>
        </w:rPr>
        <w:t>系</w:t>
      </w:r>
      <w:r>
        <w:rPr>
          <w:rFonts w:hint="eastAsia" w:ascii="仿宋" w:hAnsi="仿宋" w:eastAsia="仿宋" w:cs="仿宋"/>
          <w:sz w:val="32"/>
          <w:highlight w:val="none"/>
          <w:u w:val="single"/>
        </w:rPr>
        <w:t>（参与投标人单位名称）</w:t>
      </w:r>
      <w:r>
        <w:rPr>
          <w:rFonts w:hint="eastAsia" w:ascii="仿宋" w:hAnsi="仿宋" w:eastAsia="仿宋" w:cs="仿宋"/>
          <w:sz w:val="32"/>
          <w:highlight w:val="none"/>
        </w:rPr>
        <w:t>的法定代表人。</w:t>
      </w:r>
    </w:p>
    <w:p>
      <w:pPr>
        <w:pStyle w:val="5"/>
        <w:ind w:left="420" w:leftChars="200"/>
        <w:rPr>
          <w:rFonts w:ascii="仿宋" w:hAnsi="仿宋" w:eastAsia="仿宋" w:cs="仿宋"/>
          <w:sz w:val="32"/>
          <w:highlight w:val="none"/>
        </w:rPr>
      </w:pPr>
      <w:r>
        <w:rPr>
          <w:rFonts w:hint="eastAsia" w:ascii="仿宋" w:hAnsi="仿宋" w:eastAsia="仿宋" w:cs="仿宋"/>
          <w:sz w:val="32"/>
          <w:highlight w:val="none"/>
        </w:rPr>
        <w:t>特此证明。</w:t>
      </w:r>
    </w:p>
    <w:p>
      <w:pPr>
        <w:pStyle w:val="5"/>
        <w:rPr>
          <w:rFonts w:ascii="仿宋" w:hAnsi="仿宋" w:eastAsia="仿宋" w:cs="仿宋"/>
          <w:sz w:val="32"/>
          <w:highlight w:val="none"/>
        </w:rPr>
      </w:pPr>
    </w:p>
    <w:p>
      <w:pPr>
        <w:pStyle w:val="5"/>
        <w:ind w:firstLine="640" w:firstLineChars="200"/>
        <w:rPr>
          <w:rFonts w:ascii="仿宋" w:hAnsi="仿宋" w:eastAsia="仿宋" w:cs="仿宋"/>
          <w:sz w:val="32"/>
          <w:highlight w:val="none"/>
        </w:rPr>
      </w:pPr>
      <w:r>
        <w:rPr>
          <w:rFonts w:hint="eastAsia" w:ascii="仿宋" w:hAnsi="仿宋" w:eastAsia="仿宋" w:cs="仿宋"/>
          <w:sz w:val="32"/>
          <w:highlight w:val="none"/>
        </w:rPr>
        <w:t>投标人：（盖章）</w:t>
      </w:r>
    </w:p>
    <w:p>
      <w:pPr>
        <w:pStyle w:val="5"/>
        <w:ind w:firstLine="640" w:firstLineChars="200"/>
        <w:rPr>
          <w:rFonts w:ascii="仿宋" w:hAnsi="仿宋" w:eastAsia="仿宋" w:cs="仿宋"/>
          <w:sz w:val="32"/>
          <w:highlight w:val="none"/>
        </w:rPr>
      </w:pPr>
      <w:r>
        <w:rPr>
          <w:rFonts w:hint="eastAsia" w:ascii="仿宋" w:hAnsi="仿宋" w:eastAsia="仿宋" w:cs="仿宋"/>
          <w:sz w:val="32"/>
          <w:highlight w:val="none"/>
        </w:rPr>
        <w:t>日期：   年   月   日</w:t>
      </w:r>
    </w:p>
    <w:p>
      <w:pPr>
        <w:rPr>
          <w:highlight w:val="none"/>
        </w:rPr>
      </w:pPr>
    </w:p>
    <w:p>
      <w:pPr>
        <w:snapToGrid w:val="0"/>
        <w:ind w:firstLine="320" w:firstLineChars="100"/>
        <w:rPr>
          <w:rFonts w:ascii="仿宋" w:hAnsi="仿宋" w:eastAsia="仿宋" w:cs="仿宋"/>
          <w:color w:val="000000"/>
          <w:sz w:val="32"/>
          <w:szCs w:val="28"/>
          <w:highlight w:val="none"/>
        </w:rPr>
      </w:pPr>
      <w:r>
        <w:rPr>
          <w:rFonts w:hint="eastAsia" w:ascii="仿宋" w:hAnsi="仿宋" w:eastAsia="仿宋" w:cs="仿宋"/>
          <w:color w:val="000000"/>
          <w:sz w:val="32"/>
          <w:szCs w:val="28"/>
          <w:highlight w:val="none"/>
        </w:rPr>
        <w:t>注：</w:t>
      </w:r>
    </w:p>
    <w:p>
      <w:pPr>
        <w:numPr>
          <w:ilvl w:val="0"/>
          <w:numId w:val="34"/>
        </w:numPr>
        <w:snapToGrid w:val="0"/>
        <w:ind w:firstLine="320" w:firstLineChars="100"/>
        <w:rPr>
          <w:rFonts w:ascii="仿宋" w:hAnsi="仿宋" w:eastAsia="仿宋" w:cs="仿宋"/>
          <w:color w:val="000000"/>
          <w:sz w:val="32"/>
          <w:szCs w:val="28"/>
          <w:highlight w:val="none"/>
        </w:rPr>
      </w:pPr>
      <w:r>
        <w:rPr>
          <w:rFonts w:hint="eastAsia" w:ascii="仿宋" w:hAnsi="仿宋" w:eastAsia="仿宋" w:cs="仿宋"/>
          <w:color w:val="000000"/>
          <w:sz w:val="32"/>
          <w:szCs w:val="28"/>
          <w:highlight w:val="none"/>
        </w:rPr>
        <w:t>附投标单位执照等证件复印件</w:t>
      </w:r>
    </w:p>
    <w:p>
      <w:pPr>
        <w:numPr>
          <w:ilvl w:val="0"/>
          <w:numId w:val="34"/>
        </w:numPr>
        <w:snapToGrid w:val="0"/>
        <w:ind w:firstLine="320" w:firstLineChars="100"/>
        <w:rPr>
          <w:rFonts w:ascii="仿宋" w:hAnsi="仿宋" w:eastAsia="仿宋" w:cs="仿宋"/>
          <w:color w:val="000000"/>
          <w:sz w:val="32"/>
          <w:szCs w:val="28"/>
          <w:highlight w:val="none"/>
        </w:rPr>
      </w:pPr>
      <w:r>
        <w:rPr>
          <w:rFonts w:hint="eastAsia" w:ascii="仿宋" w:hAnsi="仿宋" w:eastAsia="仿宋" w:cs="仿宋"/>
          <w:color w:val="000000"/>
          <w:sz w:val="32"/>
          <w:szCs w:val="28"/>
          <w:highlight w:val="none"/>
        </w:rPr>
        <w:t>附法定代表人有效身份证件复印件</w:t>
      </w:r>
    </w:p>
    <w:p>
      <w:pPr>
        <w:pStyle w:val="17"/>
        <w:rPr>
          <w:highlight w:val="none"/>
        </w:rPr>
        <w:sectPr>
          <w:pgSz w:w="11907" w:h="16840"/>
          <w:pgMar w:top="1134" w:right="1247" w:bottom="1021" w:left="1247" w:header="851" w:footer="851" w:gutter="0"/>
          <w:cols w:space="720" w:num="1"/>
          <w:docGrid w:type="lines" w:linePitch="462" w:charSpace="0"/>
        </w:sectPr>
      </w:pPr>
    </w:p>
    <w:p>
      <w:pPr>
        <w:jc w:val="center"/>
        <w:rPr>
          <w:rFonts w:ascii="仿宋" w:hAnsi="仿宋" w:eastAsia="仿宋" w:cs="仿宋"/>
          <w:b/>
          <w:bCs/>
          <w:sz w:val="32"/>
          <w:highlight w:val="none"/>
        </w:rPr>
      </w:pPr>
      <w:r>
        <w:rPr>
          <w:rFonts w:hint="eastAsia" w:ascii="仿宋" w:hAnsi="仿宋" w:eastAsia="仿宋" w:cs="仿宋"/>
          <w:b/>
          <w:bCs/>
          <w:sz w:val="32"/>
          <w:highlight w:val="none"/>
        </w:rPr>
        <w:t>附件3：法定代表人授权委托书</w:t>
      </w:r>
    </w:p>
    <w:p>
      <w:pPr>
        <w:snapToGrid w:val="0"/>
        <w:jc w:val="center"/>
        <w:rPr>
          <w:rFonts w:cs="宋体"/>
          <w:b/>
          <w:bCs/>
          <w:color w:val="000000"/>
          <w:sz w:val="28"/>
          <w:szCs w:val="28"/>
          <w:highlight w:val="none"/>
        </w:rPr>
      </w:pPr>
    </w:p>
    <w:p>
      <w:pPr>
        <w:snapToGrid w:val="0"/>
        <w:spacing w:line="500" w:lineRule="exact"/>
        <w:ind w:firstLine="480"/>
        <w:rPr>
          <w:rFonts w:ascii="仿宋" w:hAnsi="仿宋" w:eastAsia="仿宋" w:cs="仿宋"/>
          <w:bCs/>
          <w:color w:val="000000"/>
          <w:sz w:val="32"/>
          <w:highlight w:val="none"/>
        </w:rPr>
      </w:pPr>
      <w:r>
        <w:rPr>
          <w:rFonts w:hint="eastAsia" w:ascii="仿宋" w:hAnsi="仿宋" w:eastAsia="仿宋" w:cs="仿宋"/>
          <w:bCs/>
          <w:color w:val="000000"/>
          <w:sz w:val="32"/>
          <w:highlight w:val="none"/>
        </w:rPr>
        <w:t>本授权委托书声明：我</w:t>
      </w:r>
      <w:r>
        <w:rPr>
          <w:rFonts w:hint="eastAsia" w:ascii="仿宋" w:hAnsi="仿宋" w:eastAsia="仿宋" w:cs="仿宋"/>
          <w:bCs/>
          <w:i/>
          <w:color w:val="000000"/>
          <w:sz w:val="32"/>
          <w:highlight w:val="none"/>
          <w:u w:val="single"/>
        </w:rPr>
        <w:t>（法定代表人姓名）</w:t>
      </w:r>
      <w:r>
        <w:rPr>
          <w:rFonts w:hint="eastAsia" w:ascii="仿宋" w:hAnsi="仿宋" w:eastAsia="仿宋" w:cs="仿宋"/>
          <w:bCs/>
          <w:color w:val="000000"/>
          <w:sz w:val="32"/>
          <w:highlight w:val="none"/>
        </w:rPr>
        <w:t>，系</w:t>
      </w:r>
      <w:r>
        <w:rPr>
          <w:rFonts w:hint="eastAsia" w:ascii="仿宋" w:hAnsi="仿宋" w:eastAsia="仿宋" w:cs="仿宋"/>
          <w:bCs/>
          <w:i/>
          <w:color w:val="000000"/>
          <w:sz w:val="32"/>
          <w:highlight w:val="none"/>
          <w:u w:val="single"/>
        </w:rPr>
        <w:t>（参与公开投标投标人名称）</w:t>
      </w:r>
      <w:r>
        <w:rPr>
          <w:rFonts w:hint="eastAsia" w:ascii="仿宋" w:hAnsi="仿宋" w:eastAsia="仿宋" w:cs="仿宋"/>
          <w:bCs/>
          <w:color w:val="000000"/>
          <w:sz w:val="32"/>
          <w:highlight w:val="none"/>
        </w:rPr>
        <w:t>的法定代表人，现授权委托</w:t>
      </w:r>
      <w:r>
        <w:rPr>
          <w:rFonts w:hint="eastAsia" w:ascii="仿宋" w:hAnsi="仿宋" w:eastAsia="仿宋" w:cs="仿宋"/>
          <w:bCs/>
          <w:i/>
          <w:color w:val="000000"/>
          <w:sz w:val="32"/>
          <w:highlight w:val="none"/>
          <w:u w:val="single"/>
        </w:rPr>
        <w:t>（授权代理人姓名）</w:t>
      </w:r>
      <w:r>
        <w:rPr>
          <w:rFonts w:hint="eastAsia" w:ascii="仿宋" w:hAnsi="仿宋" w:eastAsia="仿宋" w:cs="仿宋"/>
          <w:bCs/>
          <w:color w:val="000000"/>
          <w:sz w:val="32"/>
          <w:highlight w:val="none"/>
        </w:rPr>
        <w:t>为我公司委托代理人，以本公司的名义参加</w:t>
      </w:r>
      <w:r>
        <w:rPr>
          <w:rFonts w:hint="eastAsia" w:ascii="仿宋" w:hAnsi="仿宋" w:eastAsia="仿宋" w:cs="仿宋"/>
          <w:bCs/>
          <w:i/>
          <w:color w:val="000000"/>
          <w:sz w:val="32"/>
          <w:highlight w:val="none"/>
          <w:u w:val="single"/>
        </w:rPr>
        <w:t>（项目名称）</w:t>
      </w:r>
      <w:r>
        <w:rPr>
          <w:rFonts w:hint="eastAsia" w:ascii="仿宋" w:hAnsi="仿宋" w:eastAsia="仿宋" w:cs="仿宋"/>
          <w:bCs/>
          <w:color w:val="000000"/>
          <w:sz w:val="32"/>
          <w:highlight w:val="none"/>
        </w:rPr>
        <w:t>的</w:t>
      </w:r>
      <w:r>
        <w:rPr>
          <w:rFonts w:hint="eastAsia" w:ascii="仿宋" w:hAnsi="仿宋" w:eastAsia="仿宋" w:cs="仿宋"/>
          <w:color w:val="000000"/>
          <w:sz w:val="32"/>
          <w:highlight w:val="none"/>
        </w:rPr>
        <w:t>投标</w:t>
      </w:r>
      <w:r>
        <w:rPr>
          <w:rFonts w:hint="eastAsia" w:ascii="仿宋" w:hAnsi="仿宋" w:eastAsia="仿宋" w:cs="仿宋"/>
          <w:bCs/>
          <w:color w:val="000000"/>
          <w:sz w:val="32"/>
          <w:highlight w:val="none"/>
        </w:rPr>
        <w:t>活动，委托代理人在在代理活动过程中发生的一切行为，我单位均予以承认，其法律责任后果由我单位承担。本授权委托书有效期XXXXXXXXXX。</w:t>
      </w:r>
    </w:p>
    <w:p>
      <w:pPr>
        <w:snapToGrid w:val="0"/>
        <w:spacing w:line="500" w:lineRule="exact"/>
        <w:ind w:firstLine="480"/>
        <w:rPr>
          <w:rFonts w:ascii="仿宋" w:hAnsi="仿宋" w:eastAsia="仿宋" w:cs="仿宋"/>
          <w:bCs/>
          <w:color w:val="000000"/>
          <w:sz w:val="32"/>
          <w:highlight w:val="none"/>
        </w:rPr>
      </w:pPr>
      <w:r>
        <w:rPr>
          <w:rFonts w:hint="eastAsia" w:ascii="仿宋" w:hAnsi="仿宋" w:eastAsia="仿宋" w:cs="仿宋"/>
          <w:bCs/>
          <w:color w:val="000000"/>
          <w:sz w:val="32"/>
          <w:highlight w:val="none"/>
        </w:rPr>
        <w:t>该授权代理人无转委托权。</w:t>
      </w:r>
    </w:p>
    <w:p>
      <w:pPr>
        <w:snapToGrid w:val="0"/>
        <w:spacing w:line="500" w:lineRule="exact"/>
        <w:ind w:firstLine="480"/>
        <w:rPr>
          <w:rFonts w:ascii="仿宋" w:hAnsi="仿宋" w:eastAsia="仿宋" w:cs="仿宋"/>
          <w:bCs/>
          <w:color w:val="000000"/>
          <w:sz w:val="32"/>
          <w:highlight w:val="none"/>
        </w:rPr>
      </w:pPr>
      <w:r>
        <w:rPr>
          <w:rFonts w:hint="eastAsia" w:ascii="仿宋" w:hAnsi="仿宋" w:eastAsia="仿宋" w:cs="仿宋"/>
          <w:bCs/>
          <w:color w:val="000000"/>
          <w:sz w:val="32"/>
          <w:highlight w:val="none"/>
        </w:rPr>
        <w:t>特此授权。</w:t>
      </w:r>
    </w:p>
    <w:p>
      <w:pPr>
        <w:snapToGrid w:val="0"/>
        <w:spacing w:line="500" w:lineRule="exact"/>
        <w:ind w:firstLine="480"/>
        <w:rPr>
          <w:rFonts w:ascii="仿宋" w:hAnsi="仿宋" w:eastAsia="仿宋" w:cs="仿宋"/>
          <w:bCs/>
          <w:color w:val="000000"/>
          <w:sz w:val="32"/>
          <w:highlight w:val="none"/>
        </w:rPr>
      </w:pPr>
      <w:r>
        <w:rPr>
          <w:rFonts w:hint="eastAsia" w:ascii="仿宋" w:hAnsi="仿宋" w:eastAsia="仿宋" w:cs="仿宋"/>
          <w:bCs/>
          <w:color w:val="000000"/>
          <w:sz w:val="32"/>
          <w:highlight w:val="none"/>
        </w:rPr>
        <w:t>投标人（公章）：</w:t>
      </w:r>
    </w:p>
    <w:p>
      <w:pPr>
        <w:snapToGrid w:val="0"/>
        <w:spacing w:line="500" w:lineRule="exact"/>
        <w:ind w:firstLine="480"/>
        <w:rPr>
          <w:rFonts w:ascii="仿宋" w:hAnsi="仿宋" w:eastAsia="仿宋" w:cs="仿宋"/>
          <w:bCs/>
          <w:color w:val="000000"/>
          <w:sz w:val="32"/>
          <w:highlight w:val="none"/>
        </w:rPr>
      </w:pPr>
      <w:r>
        <w:rPr>
          <w:rFonts w:hint="eastAsia" w:ascii="仿宋" w:hAnsi="仿宋" w:eastAsia="仿宋" w:cs="仿宋"/>
          <w:bCs/>
          <w:color w:val="000000"/>
          <w:sz w:val="32"/>
          <w:highlight w:val="none"/>
        </w:rPr>
        <w:t>法定代表人（签字或印章）：</w:t>
      </w:r>
    </w:p>
    <w:p>
      <w:pPr>
        <w:snapToGrid w:val="0"/>
        <w:spacing w:line="500" w:lineRule="exact"/>
        <w:ind w:firstLine="480"/>
        <w:rPr>
          <w:rFonts w:ascii="仿宋" w:hAnsi="仿宋" w:eastAsia="仿宋" w:cs="仿宋"/>
          <w:bCs/>
          <w:color w:val="000000"/>
          <w:sz w:val="32"/>
          <w:highlight w:val="none"/>
        </w:rPr>
      </w:pPr>
      <w:r>
        <w:rPr>
          <w:rFonts w:hint="eastAsia" w:ascii="仿宋" w:hAnsi="仿宋" w:eastAsia="仿宋" w:cs="仿宋"/>
          <w:bCs/>
          <w:color w:val="000000"/>
          <w:sz w:val="32"/>
          <w:highlight w:val="none"/>
        </w:rPr>
        <w:t>代理人姓名：</w:t>
      </w:r>
    </w:p>
    <w:p>
      <w:pPr>
        <w:snapToGrid w:val="0"/>
        <w:spacing w:line="500" w:lineRule="exact"/>
        <w:ind w:firstLine="480"/>
        <w:rPr>
          <w:rFonts w:ascii="仿宋" w:hAnsi="仿宋" w:eastAsia="仿宋" w:cs="仿宋"/>
          <w:bCs/>
          <w:color w:val="000000"/>
          <w:sz w:val="32"/>
          <w:szCs w:val="28"/>
          <w:highlight w:val="none"/>
          <w:u w:val="single"/>
        </w:rPr>
      </w:pPr>
      <w:r>
        <w:rPr>
          <w:rFonts w:hint="eastAsia" w:ascii="仿宋" w:hAnsi="仿宋" w:eastAsia="仿宋" w:cs="仿宋"/>
          <w:bCs/>
          <w:color w:val="000000"/>
          <w:sz w:val="32"/>
          <w:highlight w:val="none"/>
        </w:rPr>
        <w:t>授权委托日期：   年   月   日</w:t>
      </w:r>
    </w:p>
    <w:p>
      <w:pPr>
        <w:snapToGrid w:val="0"/>
        <w:rPr>
          <w:rFonts w:ascii="仿宋" w:hAnsi="仿宋" w:eastAsia="仿宋" w:cs="仿宋"/>
          <w:b/>
          <w:bCs/>
          <w:color w:val="000000"/>
          <w:sz w:val="32"/>
          <w:szCs w:val="28"/>
          <w:highlight w:val="none"/>
        </w:rPr>
      </w:pPr>
    </w:p>
    <w:p>
      <w:pPr>
        <w:snapToGrid w:val="0"/>
        <w:ind w:firstLine="643" w:firstLineChars="200"/>
        <w:rPr>
          <w:rFonts w:ascii="仿宋" w:hAnsi="仿宋" w:eastAsia="仿宋" w:cs="仿宋"/>
          <w:b/>
          <w:bCs/>
          <w:color w:val="000000"/>
          <w:sz w:val="32"/>
          <w:szCs w:val="28"/>
          <w:highlight w:val="none"/>
        </w:rPr>
      </w:pPr>
      <w:r>
        <w:rPr>
          <w:rFonts w:hint="eastAsia" w:ascii="仿宋" w:hAnsi="仿宋" w:eastAsia="仿宋" w:cs="仿宋"/>
          <w:b/>
          <w:bCs/>
          <w:color w:val="000000"/>
          <w:sz w:val="32"/>
          <w:szCs w:val="28"/>
          <w:highlight w:val="none"/>
        </w:rPr>
        <w:t>（附授权代理人有效身份证件复印件）</w:t>
      </w:r>
    </w:p>
    <w:p>
      <w:pPr>
        <w:adjustRightInd w:val="0"/>
        <w:snapToGrid w:val="0"/>
        <w:spacing w:line="540" w:lineRule="exact"/>
        <w:rPr>
          <w:rFonts w:ascii="仿宋" w:hAnsi="仿宋" w:eastAsia="仿宋" w:cs="仿宋"/>
          <w:b/>
          <w:bCs/>
          <w:sz w:val="32"/>
          <w:highlight w:val="none"/>
        </w:rPr>
      </w:pPr>
      <w:r>
        <w:rPr>
          <w:rFonts w:hint="eastAsia" w:ascii="仿宋" w:hAnsi="仿宋" w:eastAsia="仿宋" w:cs="仿宋"/>
          <w:b/>
          <w:bCs/>
          <w:sz w:val="32"/>
          <w:highlight w:val="none"/>
        </w:rPr>
        <w:t>附：法定代表人身份证明</w:t>
      </w:r>
    </w:p>
    <w:p>
      <w:pPr>
        <w:adjustRightInd w:val="0"/>
        <w:snapToGrid w:val="0"/>
        <w:spacing w:line="540" w:lineRule="exact"/>
        <w:rPr>
          <w:rFonts w:ascii="仿宋" w:hAnsi="仿宋" w:eastAsia="仿宋" w:cs="仿宋"/>
          <w:sz w:val="32"/>
          <w:highlight w:val="none"/>
          <w:u w:val="single"/>
        </w:rPr>
      </w:pPr>
      <w:r>
        <w:rPr>
          <w:rFonts w:hint="eastAsia" w:ascii="仿宋" w:hAnsi="仿宋" w:eastAsia="仿宋" w:cs="仿宋"/>
          <w:bCs/>
          <w:color w:val="000000"/>
          <w:sz w:val="32"/>
          <w:highlight w:val="none"/>
        </w:rPr>
        <w:t>投标人</w:t>
      </w:r>
      <w:r>
        <w:rPr>
          <w:rFonts w:hint="eastAsia" w:ascii="仿宋" w:hAnsi="仿宋" w:eastAsia="仿宋" w:cs="仿宋"/>
          <w:sz w:val="32"/>
          <w:highlight w:val="none"/>
        </w:rPr>
        <w:t>名称（单位章）：</w:t>
      </w:r>
      <w:r>
        <w:rPr>
          <w:rFonts w:hint="eastAsia" w:ascii="仿宋" w:hAnsi="仿宋" w:eastAsia="仿宋" w:cs="仿宋"/>
          <w:sz w:val="32"/>
          <w:highlight w:val="none"/>
          <w:u w:val="single"/>
        </w:rPr>
        <w:t xml:space="preserve">                    </w:t>
      </w:r>
    </w:p>
    <w:p>
      <w:pPr>
        <w:adjustRightInd w:val="0"/>
        <w:snapToGrid w:val="0"/>
        <w:spacing w:line="540" w:lineRule="exact"/>
        <w:rPr>
          <w:rFonts w:ascii="仿宋" w:hAnsi="仿宋" w:eastAsia="仿宋" w:cs="仿宋"/>
          <w:sz w:val="32"/>
          <w:highlight w:val="none"/>
          <w:u w:val="single"/>
        </w:rPr>
      </w:pPr>
      <w:r>
        <w:rPr>
          <w:rFonts w:hint="eastAsia" w:ascii="仿宋" w:hAnsi="仿宋" w:eastAsia="仿宋" w:cs="仿宋"/>
          <w:sz w:val="32"/>
          <w:highlight w:val="none"/>
        </w:rPr>
        <w:t>法定代表人（签字）：</w:t>
      </w:r>
      <w:r>
        <w:rPr>
          <w:rFonts w:hint="eastAsia" w:ascii="仿宋" w:hAnsi="仿宋" w:eastAsia="仿宋" w:cs="仿宋"/>
          <w:sz w:val="32"/>
          <w:highlight w:val="none"/>
          <w:u w:val="single"/>
        </w:rPr>
        <w:t xml:space="preserve">         </w:t>
      </w:r>
      <w:r>
        <w:rPr>
          <w:rFonts w:hint="eastAsia" w:ascii="仿宋" w:hAnsi="仿宋" w:eastAsia="仿宋" w:cs="仿宋"/>
          <w:sz w:val="32"/>
          <w:highlight w:val="none"/>
        </w:rPr>
        <w:t xml:space="preserve">  </w:t>
      </w:r>
      <w:r>
        <w:rPr>
          <w:rFonts w:hint="eastAsia" w:ascii="仿宋" w:hAnsi="仿宋" w:eastAsia="仿宋" w:cs="仿宋"/>
          <w:color w:val="000000"/>
          <w:sz w:val="32"/>
          <w:highlight w:val="none"/>
        </w:rPr>
        <w:t>身份证号码：</w:t>
      </w:r>
      <w:r>
        <w:rPr>
          <w:rFonts w:hint="eastAsia" w:ascii="仿宋" w:hAnsi="仿宋" w:eastAsia="仿宋" w:cs="仿宋"/>
          <w:color w:val="000000"/>
          <w:sz w:val="32"/>
          <w:highlight w:val="none"/>
          <w:u w:val="single"/>
        </w:rPr>
        <w:t>　　　　　　　　　　　</w:t>
      </w:r>
    </w:p>
    <w:p>
      <w:pPr>
        <w:adjustRightInd w:val="0"/>
        <w:snapToGrid w:val="0"/>
        <w:spacing w:line="540" w:lineRule="exact"/>
        <w:rPr>
          <w:rFonts w:ascii="仿宋" w:hAnsi="仿宋" w:eastAsia="仿宋" w:cs="仿宋"/>
          <w:color w:val="000000"/>
          <w:sz w:val="32"/>
          <w:highlight w:val="none"/>
          <w:u w:val="single"/>
        </w:rPr>
      </w:pPr>
      <w:r>
        <w:rPr>
          <w:rFonts w:hint="eastAsia" w:ascii="仿宋" w:hAnsi="仿宋" w:eastAsia="仿宋" w:cs="仿宋"/>
          <w:sz w:val="32"/>
          <w:highlight w:val="none"/>
        </w:rPr>
        <w:t>委托代理人（签字）：</w:t>
      </w:r>
      <w:r>
        <w:rPr>
          <w:rFonts w:hint="eastAsia" w:ascii="仿宋" w:hAnsi="仿宋" w:eastAsia="仿宋" w:cs="仿宋"/>
          <w:sz w:val="32"/>
          <w:highlight w:val="none"/>
          <w:u w:val="single"/>
        </w:rPr>
        <w:t xml:space="preserve">         </w:t>
      </w:r>
      <w:r>
        <w:rPr>
          <w:rFonts w:hint="eastAsia" w:ascii="仿宋" w:hAnsi="仿宋" w:eastAsia="仿宋" w:cs="仿宋"/>
          <w:sz w:val="32"/>
          <w:highlight w:val="none"/>
        </w:rPr>
        <w:t>　</w:t>
      </w:r>
      <w:r>
        <w:rPr>
          <w:rFonts w:hint="eastAsia" w:ascii="仿宋" w:hAnsi="仿宋" w:eastAsia="仿宋" w:cs="仿宋"/>
          <w:color w:val="000000"/>
          <w:sz w:val="32"/>
          <w:highlight w:val="none"/>
        </w:rPr>
        <w:t>身份证号码：</w:t>
      </w:r>
      <w:r>
        <w:rPr>
          <w:rFonts w:hint="eastAsia" w:ascii="仿宋" w:hAnsi="仿宋" w:eastAsia="仿宋" w:cs="仿宋"/>
          <w:color w:val="000000"/>
          <w:sz w:val="32"/>
          <w:highlight w:val="none"/>
          <w:u w:val="single"/>
        </w:rPr>
        <w:t>　　　　　　　　　　　</w:t>
      </w:r>
    </w:p>
    <w:p>
      <w:pPr>
        <w:adjustRightInd w:val="0"/>
        <w:snapToGrid w:val="0"/>
        <w:spacing w:line="540" w:lineRule="exact"/>
        <w:rPr>
          <w:rFonts w:ascii="仿宋" w:hAnsi="仿宋" w:eastAsia="仿宋" w:cs="仿宋"/>
          <w:color w:val="000000"/>
          <w:sz w:val="32"/>
          <w:highlight w:val="none"/>
        </w:rPr>
      </w:pPr>
      <w:r>
        <w:rPr>
          <w:rFonts w:hint="eastAsia" w:ascii="仿宋" w:hAnsi="仿宋" w:eastAsia="仿宋" w:cs="仿宋"/>
          <w:color w:val="000000"/>
          <w:sz w:val="32"/>
          <w:highlight w:val="none"/>
        </w:rPr>
        <w:t>联系电话：</w:t>
      </w:r>
    </w:p>
    <w:p>
      <w:pPr>
        <w:adjustRightInd w:val="0"/>
        <w:snapToGrid w:val="0"/>
        <w:spacing w:line="540" w:lineRule="exact"/>
        <w:rPr>
          <w:rFonts w:ascii="仿宋" w:hAnsi="仿宋" w:eastAsia="仿宋" w:cs="仿宋"/>
          <w:sz w:val="32"/>
          <w:highlight w:val="none"/>
        </w:rPr>
      </w:pPr>
      <w:r>
        <w:rPr>
          <w:rFonts w:hint="eastAsia" w:ascii="仿宋" w:hAnsi="仿宋" w:eastAsia="仿宋" w:cs="仿宋"/>
          <w:sz w:val="32"/>
          <w:highlight w:val="none"/>
        </w:rPr>
        <w:t>日期：</w:t>
      </w:r>
      <w:r>
        <w:rPr>
          <w:rFonts w:hint="eastAsia" w:ascii="仿宋" w:hAnsi="仿宋" w:eastAsia="仿宋" w:cs="仿宋"/>
          <w:sz w:val="32"/>
          <w:highlight w:val="none"/>
          <w:u w:val="single"/>
        </w:rPr>
        <w:t xml:space="preserve">        </w:t>
      </w:r>
      <w:r>
        <w:rPr>
          <w:rFonts w:hint="eastAsia" w:ascii="仿宋" w:hAnsi="仿宋" w:eastAsia="仿宋" w:cs="仿宋"/>
          <w:sz w:val="32"/>
          <w:highlight w:val="none"/>
        </w:rPr>
        <w:t>年</w:t>
      </w:r>
      <w:r>
        <w:rPr>
          <w:rFonts w:hint="eastAsia" w:ascii="仿宋" w:hAnsi="仿宋" w:eastAsia="仿宋" w:cs="仿宋"/>
          <w:sz w:val="32"/>
          <w:highlight w:val="none"/>
          <w:u w:val="single"/>
        </w:rPr>
        <w:t xml:space="preserve">       </w:t>
      </w:r>
      <w:r>
        <w:rPr>
          <w:rFonts w:hint="eastAsia" w:ascii="仿宋" w:hAnsi="仿宋" w:eastAsia="仿宋" w:cs="仿宋"/>
          <w:sz w:val="32"/>
          <w:highlight w:val="none"/>
        </w:rPr>
        <w:t>月</w:t>
      </w:r>
      <w:r>
        <w:rPr>
          <w:rFonts w:hint="eastAsia" w:ascii="仿宋" w:hAnsi="仿宋" w:eastAsia="仿宋" w:cs="仿宋"/>
          <w:sz w:val="32"/>
          <w:highlight w:val="none"/>
          <w:u w:val="single"/>
        </w:rPr>
        <w:t xml:space="preserve">       </w:t>
      </w:r>
      <w:r>
        <w:rPr>
          <w:rFonts w:hint="eastAsia" w:ascii="仿宋" w:hAnsi="仿宋" w:eastAsia="仿宋" w:cs="仿宋"/>
          <w:sz w:val="32"/>
          <w:highlight w:val="none"/>
        </w:rPr>
        <w:t>日</w:t>
      </w:r>
    </w:p>
    <w:p>
      <w:pPr>
        <w:pStyle w:val="17"/>
        <w:rPr>
          <w:highlight w:val="none"/>
        </w:rPr>
      </w:pPr>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ind w:firstLine="482"/>
        <w:jc w:val="center"/>
        <w:rPr>
          <w:rFonts w:ascii="仿宋" w:hAnsi="仿宋" w:eastAsia="仿宋" w:cs="仿宋"/>
          <w:b/>
          <w:sz w:val="32"/>
          <w:highlight w:val="none"/>
        </w:rPr>
        <w:sectPr>
          <w:pgSz w:w="11906" w:h="16838"/>
          <w:pgMar w:top="993" w:right="1274" w:bottom="1440" w:left="1800" w:header="851" w:footer="992" w:gutter="0"/>
          <w:cols w:space="720" w:num="1"/>
          <w:docGrid w:type="lines" w:linePitch="312" w:charSpace="0"/>
        </w:sectPr>
      </w:pPr>
    </w:p>
    <w:p>
      <w:pPr>
        <w:topLinePunct/>
        <w:spacing w:line="440" w:lineRule="exact"/>
        <w:jc w:val="center"/>
        <w:rPr>
          <w:rFonts w:ascii="仿宋_GB2312" w:eastAsia="仿宋"/>
          <w:b/>
          <w:color w:val="000000"/>
          <w:sz w:val="32"/>
          <w:szCs w:val="32"/>
          <w:highlight w:val="none"/>
        </w:rPr>
      </w:pPr>
      <w:r>
        <w:rPr>
          <w:rFonts w:hint="eastAsia" w:ascii="仿宋_GB2312" w:eastAsia="仿宋"/>
          <w:b/>
          <w:color w:val="000000"/>
          <w:sz w:val="32"/>
          <w:szCs w:val="32"/>
          <w:highlight w:val="none"/>
        </w:rPr>
        <w:t>附件4：投标人基本情况表</w:t>
      </w:r>
    </w:p>
    <w:p>
      <w:pPr>
        <w:topLinePunct/>
        <w:spacing w:line="440" w:lineRule="exact"/>
        <w:jc w:val="center"/>
        <w:rPr>
          <w:rFonts w:ascii="仿宋_GB2312" w:eastAsia="仿宋_GB2312"/>
          <w:color w:val="000000"/>
          <w:sz w:val="28"/>
          <w:szCs w:val="28"/>
          <w:highlight w:val="none"/>
        </w:rPr>
      </w:pPr>
    </w:p>
    <w:tbl>
      <w:tblPr>
        <w:tblStyle w:val="13"/>
        <w:tblW w:w="8917" w:type="dxa"/>
        <w:tblInd w:w="0" w:type="dxa"/>
        <w:tblLayout w:type="fixed"/>
        <w:tblCellMar>
          <w:top w:w="0" w:type="dxa"/>
          <w:left w:w="28" w:type="dxa"/>
          <w:bottom w:w="0" w:type="dxa"/>
          <w:right w:w="28" w:type="dxa"/>
        </w:tblCellMar>
      </w:tblPr>
      <w:tblGrid>
        <w:gridCol w:w="2100"/>
        <w:gridCol w:w="2170"/>
        <w:gridCol w:w="2463"/>
        <w:gridCol w:w="2184"/>
      </w:tblGrid>
      <w:tr>
        <w:tblPrEx>
          <w:tblCellMar>
            <w:top w:w="0" w:type="dxa"/>
            <w:left w:w="28" w:type="dxa"/>
            <w:bottom w:w="0" w:type="dxa"/>
            <w:right w:w="28" w:type="dxa"/>
          </w:tblCellMar>
        </w:tblPrEx>
        <w:trPr>
          <w:cantSplit/>
          <w:trHeight w:val="851" w:hRule="atLeast"/>
        </w:trPr>
        <w:tc>
          <w:tcPr>
            <w:tcW w:w="210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ind w:left="113"/>
              <w:jc w:val="center"/>
              <w:textAlignment w:val="bottom"/>
              <w:rPr>
                <w:rFonts w:ascii="仿宋_GB2312" w:eastAsia="仿宋_GB2312"/>
                <w:color w:val="000000"/>
                <w:sz w:val="28"/>
                <w:szCs w:val="28"/>
                <w:highlight w:val="none"/>
              </w:rPr>
            </w:pPr>
            <w:r>
              <w:rPr>
                <w:rFonts w:hint="eastAsia" w:ascii="仿宋_GB2312" w:eastAsia="仿宋"/>
                <w:color w:val="000000"/>
                <w:sz w:val="28"/>
                <w:szCs w:val="28"/>
                <w:highlight w:val="none"/>
              </w:rPr>
              <w:t>投标人全称</w:t>
            </w:r>
          </w:p>
        </w:tc>
        <w:tc>
          <w:tcPr>
            <w:tcW w:w="6817"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ascii="仿宋_GB2312" w:eastAsia="仿宋_GB2312"/>
                <w:color w:val="000000"/>
                <w:sz w:val="28"/>
                <w:szCs w:val="28"/>
                <w:highlight w:val="none"/>
              </w:rPr>
            </w:pPr>
          </w:p>
        </w:tc>
      </w:tr>
      <w:tr>
        <w:tblPrEx>
          <w:tblCellMar>
            <w:top w:w="0" w:type="dxa"/>
            <w:left w:w="28" w:type="dxa"/>
            <w:bottom w:w="0" w:type="dxa"/>
            <w:right w:w="28" w:type="dxa"/>
          </w:tblCellMar>
        </w:tblPrEx>
        <w:trPr>
          <w:cantSplit/>
          <w:trHeight w:val="851" w:hRule="atLeast"/>
        </w:trPr>
        <w:tc>
          <w:tcPr>
            <w:tcW w:w="210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ind w:left="113"/>
              <w:jc w:val="center"/>
              <w:textAlignment w:val="bottom"/>
              <w:rPr>
                <w:rFonts w:ascii="仿宋_GB2312" w:eastAsia="仿宋_GB2312"/>
                <w:color w:val="000000"/>
                <w:sz w:val="28"/>
                <w:szCs w:val="28"/>
                <w:highlight w:val="none"/>
              </w:rPr>
            </w:pPr>
            <w:r>
              <w:rPr>
                <w:rFonts w:hint="eastAsia" w:ascii="仿宋_GB2312" w:eastAsia="仿宋"/>
                <w:color w:val="000000"/>
                <w:sz w:val="28"/>
                <w:szCs w:val="28"/>
                <w:highlight w:val="none"/>
              </w:rPr>
              <w:t>组织形式</w:t>
            </w:r>
          </w:p>
        </w:tc>
        <w:tc>
          <w:tcPr>
            <w:tcW w:w="217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ascii="仿宋_GB2312" w:eastAsia="仿宋_GB2312"/>
                <w:color w:val="000000"/>
                <w:sz w:val="28"/>
                <w:szCs w:val="28"/>
                <w:highlight w:val="none"/>
              </w:rPr>
            </w:pPr>
          </w:p>
        </w:tc>
        <w:tc>
          <w:tcPr>
            <w:tcW w:w="2463"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ascii="仿宋_GB2312" w:eastAsia="仿宋_GB2312"/>
                <w:color w:val="000000"/>
                <w:sz w:val="28"/>
                <w:szCs w:val="28"/>
                <w:highlight w:val="none"/>
              </w:rPr>
            </w:pPr>
            <w:r>
              <w:rPr>
                <w:rFonts w:hint="eastAsia" w:ascii="仿宋_GB2312" w:eastAsia="仿宋"/>
                <w:color w:val="000000"/>
                <w:sz w:val="28"/>
                <w:szCs w:val="28"/>
                <w:highlight w:val="none"/>
              </w:rPr>
              <w:t>设立资产</w:t>
            </w:r>
          </w:p>
        </w:tc>
        <w:tc>
          <w:tcPr>
            <w:tcW w:w="218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ascii="仿宋_GB2312" w:eastAsia="仿宋_GB2312"/>
                <w:color w:val="000000"/>
                <w:sz w:val="28"/>
                <w:szCs w:val="28"/>
                <w:highlight w:val="none"/>
              </w:rPr>
            </w:pPr>
          </w:p>
        </w:tc>
      </w:tr>
      <w:tr>
        <w:tblPrEx>
          <w:tblCellMar>
            <w:top w:w="0" w:type="dxa"/>
            <w:left w:w="28" w:type="dxa"/>
            <w:bottom w:w="0" w:type="dxa"/>
            <w:right w:w="28" w:type="dxa"/>
          </w:tblCellMar>
        </w:tblPrEx>
        <w:trPr>
          <w:cantSplit/>
          <w:trHeight w:val="851" w:hRule="atLeast"/>
        </w:trPr>
        <w:tc>
          <w:tcPr>
            <w:tcW w:w="210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ind w:left="113"/>
              <w:jc w:val="center"/>
              <w:textAlignment w:val="bottom"/>
              <w:rPr>
                <w:rFonts w:ascii="仿宋_GB2312" w:eastAsia="仿宋_GB2312"/>
                <w:color w:val="000000"/>
                <w:sz w:val="28"/>
                <w:szCs w:val="28"/>
                <w:highlight w:val="none"/>
              </w:rPr>
            </w:pPr>
            <w:r>
              <w:rPr>
                <w:rFonts w:hint="eastAsia" w:ascii="仿宋_GB2312" w:eastAsia="仿宋"/>
                <w:color w:val="000000"/>
                <w:sz w:val="28"/>
                <w:szCs w:val="28"/>
                <w:highlight w:val="none"/>
              </w:rPr>
              <w:t>主管机关</w:t>
            </w:r>
          </w:p>
        </w:tc>
        <w:tc>
          <w:tcPr>
            <w:tcW w:w="217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ascii="仿宋_GB2312" w:eastAsia="仿宋_GB2312"/>
                <w:color w:val="000000"/>
                <w:sz w:val="28"/>
                <w:szCs w:val="28"/>
                <w:highlight w:val="none"/>
              </w:rPr>
            </w:pPr>
          </w:p>
        </w:tc>
        <w:tc>
          <w:tcPr>
            <w:tcW w:w="2463"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ascii="仿宋_GB2312" w:eastAsia="仿宋_GB2312"/>
                <w:color w:val="000000"/>
                <w:sz w:val="28"/>
                <w:szCs w:val="28"/>
                <w:highlight w:val="none"/>
              </w:rPr>
            </w:pPr>
            <w:r>
              <w:rPr>
                <w:rFonts w:hint="eastAsia" w:ascii="仿宋_GB2312" w:eastAsia="仿宋"/>
                <w:color w:val="000000"/>
                <w:sz w:val="28"/>
                <w:szCs w:val="28"/>
                <w:highlight w:val="none"/>
              </w:rPr>
              <w:t>批准文号</w:t>
            </w:r>
          </w:p>
        </w:tc>
        <w:tc>
          <w:tcPr>
            <w:tcW w:w="218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ascii="仿宋_GB2312" w:eastAsia="仿宋_GB2312"/>
                <w:color w:val="000000"/>
                <w:sz w:val="28"/>
                <w:szCs w:val="28"/>
                <w:highlight w:val="none"/>
              </w:rPr>
            </w:pPr>
          </w:p>
        </w:tc>
      </w:tr>
      <w:tr>
        <w:tblPrEx>
          <w:tblCellMar>
            <w:top w:w="0" w:type="dxa"/>
            <w:left w:w="28" w:type="dxa"/>
            <w:bottom w:w="0" w:type="dxa"/>
            <w:right w:w="28" w:type="dxa"/>
          </w:tblCellMar>
        </w:tblPrEx>
        <w:trPr>
          <w:cantSplit/>
          <w:trHeight w:val="851" w:hRule="atLeast"/>
        </w:trPr>
        <w:tc>
          <w:tcPr>
            <w:tcW w:w="210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ind w:left="113"/>
              <w:jc w:val="center"/>
              <w:textAlignment w:val="bottom"/>
              <w:rPr>
                <w:rFonts w:ascii="仿宋_GB2312" w:eastAsia="仿宋_GB2312"/>
                <w:color w:val="000000"/>
                <w:sz w:val="28"/>
                <w:szCs w:val="28"/>
                <w:highlight w:val="none"/>
              </w:rPr>
            </w:pPr>
            <w:r>
              <w:rPr>
                <w:rFonts w:hint="eastAsia" w:ascii="仿宋_GB2312" w:eastAsia="仿宋"/>
                <w:color w:val="000000"/>
                <w:sz w:val="28"/>
                <w:szCs w:val="28"/>
                <w:highlight w:val="none"/>
              </w:rPr>
              <w:t>住所</w:t>
            </w:r>
          </w:p>
        </w:tc>
        <w:tc>
          <w:tcPr>
            <w:tcW w:w="217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ascii="仿宋_GB2312" w:eastAsia="仿宋_GB2312"/>
                <w:color w:val="000000"/>
                <w:sz w:val="28"/>
                <w:szCs w:val="28"/>
                <w:highlight w:val="none"/>
              </w:rPr>
            </w:pPr>
          </w:p>
        </w:tc>
        <w:tc>
          <w:tcPr>
            <w:tcW w:w="2463"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ascii="仿宋_GB2312" w:eastAsia="仿宋_GB2312"/>
                <w:color w:val="000000"/>
                <w:sz w:val="28"/>
                <w:szCs w:val="28"/>
                <w:highlight w:val="none"/>
              </w:rPr>
            </w:pPr>
            <w:r>
              <w:rPr>
                <w:rFonts w:hint="eastAsia" w:ascii="仿宋_GB2312" w:eastAsia="仿宋"/>
                <w:color w:val="000000"/>
                <w:sz w:val="28"/>
                <w:szCs w:val="28"/>
                <w:highlight w:val="none"/>
              </w:rPr>
              <w:t>批准日期</w:t>
            </w:r>
          </w:p>
        </w:tc>
        <w:tc>
          <w:tcPr>
            <w:tcW w:w="218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ascii="仿宋_GB2312" w:eastAsia="仿宋_GB2312"/>
                <w:color w:val="000000"/>
                <w:sz w:val="28"/>
                <w:szCs w:val="28"/>
                <w:highlight w:val="none"/>
              </w:rPr>
            </w:pPr>
          </w:p>
        </w:tc>
      </w:tr>
      <w:tr>
        <w:tblPrEx>
          <w:tblCellMar>
            <w:top w:w="0" w:type="dxa"/>
            <w:left w:w="28" w:type="dxa"/>
            <w:bottom w:w="0" w:type="dxa"/>
            <w:right w:w="28" w:type="dxa"/>
          </w:tblCellMar>
        </w:tblPrEx>
        <w:trPr>
          <w:cantSplit/>
          <w:trHeight w:val="851" w:hRule="atLeast"/>
        </w:trPr>
        <w:tc>
          <w:tcPr>
            <w:tcW w:w="210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ind w:left="113"/>
              <w:jc w:val="center"/>
              <w:textAlignment w:val="bottom"/>
              <w:rPr>
                <w:rFonts w:ascii="仿宋_GB2312" w:eastAsia="仿宋_GB2312"/>
                <w:color w:val="000000"/>
                <w:sz w:val="28"/>
                <w:szCs w:val="28"/>
                <w:highlight w:val="none"/>
              </w:rPr>
            </w:pPr>
            <w:r>
              <w:rPr>
                <w:rFonts w:hint="eastAsia" w:ascii="仿宋_GB2312" w:eastAsia="仿宋"/>
                <w:color w:val="000000"/>
                <w:sz w:val="28"/>
                <w:szCs w:val="28"/>
                <w:highlight w:val="none"/>
              </w:rPr>
              <w:t>负责人</w:t>
            </w:r>
          </w:p>
        </w:tc>
        <w:tc>
          <w:tcPr>
            <w:tcW w:w="217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ascii="仿宋_GB2312" w:eastAsia="仿宋_GB2312"/>
                <w:color w:val="000000"/>
                <w:sz w:val="28"/>
                <w:szCs w:val="28"/>
                <w:highlight w:val="none"/>
              </w:rPr>
            </w:pPr>
          </w:p>
        </w:tc>
        <w:tc>
          <w:tcPr>
            <w:tcW w:w="2463"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ascii="仿宋_GB2312" w:eastAsia="仿宋_GB2312"/>
                <w:color w:val="000000"/>
                <w:sz w:val="28"/>
                <w:szCs w:val="28"/>
                <w:highlight w:val="none"/>
              </w:rPr>
            </w:pPr>
            <w:r>
              <w:rPr>
                <w:rFonts w:hint="eastAsia" w:ascii="仿宋_GB2312" w:eastAsia="仿宋"/>
                <w:color w:val="000000"/>
                <w:sz w:val="28"/>
                <w:szCs w:val="28"/>
                <w:highlight w:val="none"/>
              </w:rPr>
              <w:t>律师总人数</w:t>
            </w:r>
          </w:p>
        </w:tc>
        <w:tc>
          <w:tcPr>
            <w:tcW w:w="2184"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jc w:val="center"/>
              <w:textAlignment w:val="bottom"/>
              <w:rPr>
                <w:rFonts w:ascii="仿宋_GB2312" w:eastAsia="仿宋_GB2312"/>
                <w:color w:val="000000"/>
                <w:sz w:val="28"/>
                <w:szCs w:val="28"/>
                <w:highlight w:val="none"/>
              </w:rPr>
            </w:pPr>
          </w:p>
        </w:tc>
      </w:tr>
      <w:tr>
        <w:tblPrEx>
          <w:tblCellMar>
            <w:top w:w="0" w:type="dxa"/>
            <w:left w:w="28" w:type="dxa"/>
            <w:bottom w:w="0" w:type="dxa"/>
            <w:right w:w="28" w:type="dxa"/>
          </w:tblCellMar>
        </w:tblPrEx>
        <w:trPr>
          <w:cantSplit/>
          <w:trHeight w:val="4247" w:hRule="atLeast"/>
        </w:trPr>
        <w:tc>
          <w:tcPr>
            <w:tcW w:w="210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ind w:left="113"/>
              <w:jc w:val="center"/>
              <w:textAlignment w:val="bottom"/>
              <w:rPr>
                <w:rFonts w:ascii="仿宋_GB2312" w:eastAsia="仿宋_GB2312"/>
                <w:color w:val="000000"/>
                <w:sz w:val="28"/>
                <w:szCs w:val="28"/>
                <w:highlight w:val="none"/>
              </w:rPr>
            </w:pPr>
            <w:r>
              <w:rPr>
                <w:rFonts w:hint="eastAsia" w:ascii="仿宋_GB2312" w:eastAsia="仿宋"/>
                <w:color w:val="000000"/>
                <w:sz w:val="28"/>
                <w:szCs w:val="28"/>
                <w:highlight w:val="none"/>
              </w:rPr>
              <w:t>联系方式</w:t>
            </w:r>
          </w:p>
        </w:tc>
        <w:tc>
          <w:tcPr>
            <w:tcW w:w="6817"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spacing w:line="400" w:lineRule="atLeast"/>
              <w:textAlignment w:val="bottom"/>
              <w:rPr>
                <w:rFonts w:ascii="仿宋_GB2312" w:eastAsia="仿宋"/>
                <w:color w:val="000000"/>
                <w:sz w:val="28"/>
                <w:szCs w:val="28"/>
                <w:highlight w:val="none"/>
              </w:rPr>
            </w:pPr>
            <w:r>
              <w:rPr>
                <w:rFonts w:hint="eastAsia" w:ascii="仿宋_GB2312" w:eastAsia="仿宋"/>
                <w:color w:val="000000"/>
                <w:sz w:val="28"/>
                <w:szCs w:val="28"/>
                <w:highlight w:val="none"/>
              </w:rPr>
              <w:t>1.地址:           2.邮编:        3.电话:</w:t>
            </w:r>
          </w:p>
          <w:p>
            <w:pPr>
              <w:widowControl/>
              <w:autoSpaceDE w:val="0"/>
              <w:autoSpaceDN w:val="0"/>
              <w:spacing w:line="400" w:lineRule="atLeast"/>
              <w:textAlignment w:val="bottom"/>
              <w:rPr>
                <w:rFonts w:ascii="仿宋_GB2312" w:eastAsia="仿宋"/>
                <w:color w:val="000000"/>
                <w:sz w:val="28"/>
                <w:szCs w:val="28"/>
                <w:highlight w:val="none"/>
              </w:rPr>
            </w:pPr>
          </w:p>
          <w:p>
            <w:pPr>
              <w:widowControl/>
              <w:autoSpaceDE w:val="0"/>
              <w:autoSpaceDN w:val="0"/>
              <w:spacing w:line="400" w:lineRule="atLeast"/>
              <w:textAlignment w:val="bottom"/>
              <w:rPr>
                <w:rFonts w:ascii="仿宋_GB2312" w:eastAsia="仿宋"/>
                <w:color w:val="000000"/>
                <w:sz w:val="28"/>
                <w:szCs w:val="28"/>
                <w:highlight w:val="none"/>
              </w:rPr>
            </w:pPr>
            <w:r>
              <w:rPr>
                <w:rFonts w:hint="eastAsia" w:ascii="仿宋_GB2312" w:eastAsia="仿宋"/>
                <w:color w:val="000000"/>
                <w:sz w:val="28"/>
                <w:szCs w:val="28"/>
                <w:highlight w:val="none"/>
              </w:rPr>
              <w:t>4.传真:           5. E-mail:     6.联系人:</w:t>
            </w:r>
          </w:p>
          <w:p>
            <w:pPr>
              <w:widowControl/>
              <w:autoSpaceDE w:val="0"/>
              <w:autoSpaceDN w:val="0"/>
              <w:spacing w:line="400" w:lineRule="atLeast"/>
              <w:textAlignment w:val="bottom"/>
              <w:rPr>
                <w:rFonts w:ascii="仿宋_GB2312" w:eastAsia="仿宋_GB2312"/>
                <w:color w:val="000000"/>
                <w:sz w:val="28"/>
                <w:szCs w:val="28"/>
                <w:highlight w:val="none"/>
              </w:rPr>
            </w:pPr>
          </w:p>
        </w:tc>
      </w:tr>
    </w:tbl>
    <w:p>
      <w:pPr>
        <w:widowControl/>
        <w:autoSpaceDE w:val="0"/>
        <w:autoSpaceDN w:val="0"/>
        <w:spacing w:line="440" w:lineRule="exact"/>
        <w:ind w:firstLine="560" w:firstLineChars="200"/>
        <w:textAlignment w:val="bottom"/>
        <w:rPr>
          <w:rFonts w:ascii="仿宋_GB2312" w:eastAsia="仿宋"/>
          <w:color w:val="000000"/>
          <w:sz w:val="28"/>
          <w:szCs w:val="28"/>
          <w:highlight w:val="none"/>
        </w:rPr>
      </w:pPr>
    </w:p>
    <w:p>
      <w:pPr>
        <w:pStyle w:val="2"/>
        <w:spacing w:line="400" w:lineRule="atLeast"/>
        <w:ind w:firstLine="643" w:firstLineChars="200"/>
        <w:jc w:val="left"/>
        <w:rPr>
          <w:rFonts w:ascii="仿宋_GB2312" w:eastAsia="仿宋"/>
          <w:color w:val="000000"/>
          <w:sz w:val="32"/>
          <w:szCs w:val="32"/>
          <w:highlight w:val="none"/>
        </w:rPr>
        <w:sectPr>
          <w:pgSz w:w="11907" w:h="16840"/>
          <w:pgMar w:top="1134" w:right="1247" w:bottom="1021" w:left="1247" w:header="851" w:footer="851" w:gutter="0"/>
          <w:cols w:space="720" w:num="1"/>
          <w:docGrid w:type="lines" w:linePitch="462" w:charSpace="0"/>
        </w:sectPr>
      </w:pPr>
    </w:p>
    <w:p>
      <w:pPr>
        <w:pStyle w:val="2"/>
        <w:spacing w:line="400" w:lineRule="atLeast"/>
        <w:ind w:firstLine="643" w:firstLineChars="200"/>
        <w:jc w:val="left"/>
        <w:rPr>
          <w:rFonts w:ascii="仿宋_GB2312" w:eastAsia="仿宋"/>
          <w:color w:val="000000"/>
          <w:sz w:val="32"/>
          <w:szCs w:val="32"/>
          <w:highlight w:val="none"/>
        </w:rPr>
      </w:pPr>
      <w:r>
        <w:rPr>
          <w:rFonts w:hint="eastAsia" w:ascii="仿宋_GB2312" w:eastAsia="仿宋"/>
          <w:color w:val="000000"/>
          <w:sz w:val="32"/>
          <w:szCs w:val="32"/>
          <w:highlight w:val="none"/>
        </w:rPr>
        <w:t>附件5：近三年承担的企业常年法律顾问服务业绩表</w:t>
      </w:r>
    </w:p>
    <w:p>
      <w:pPr>
        <w:rPr>
          <w:highlight w:val="none"/>
        </w:rPr>
      </w:pPr>
    </w:p>
    <w:tbl>
      <w:tblPr>
        <w:tblStyle w:val="13"/>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380"/>
        <w:gridCol w:w="1400"/>
        <w:gridCol w:w="2024"/>
        <w:gridCol w:w="2634"/>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vAlign w:val="center"/>
          </w:tcPr>
          <w:p>
            <w:pPr>
              <w:pStyle w:val="6"/>
              <w:spacing w:line="400" w:lineRule="atLeast"/>
              <w:ind w:left="0"/>
              <w:jc w:val="center"/>
              <w:rPr>
                <w:rFonts w:ascii="仿宋_GB2312" w:eastAsia="仿宋_GB2312"/>
                <w:color w:val="000000"/>
                <w:sz w:val="28"/>
                <w:szCs w:val="28"/>
                <w:highlight w:val="none"/>
              </w:rPr>
            </w:pPr>
            <w:r>
              <w:rPr>
                <w:rFonts w:hint="eastAsia" w:ascii="仿宋_GB2312" w:eastAsia="仿宋"/>
                <w:color w:val="000000"/>
                <w:sz w:val="28"/>
                <w:szCs w:val="28"/>
                <w:highlight w:val="none"/>
              </w:rPr>
              <w:t xml:space="preserve">   序号</w:t>
            </w:r>
          </w:p>
        </w:tc>
        <w:tc>
          <w:tcPr>
            <w:tcW w:w="1380" w:type="dxa"/>
            <w:vAlign w:val="center"/>
          </w:tcPr>
          <w:p>
            <w:pPr>
              <w:pStyle w:val="6"/>
              <w:spacing w:line="400" w:lineRule="atLeast"/>
              <w:ind w:left="0"/>
              <w:jc w:val="center"/>
              <w:rPr>
                <w:rFonts w:ascii="仿宋_GB2312" w:eastAsia="仿宋_GB2312"/>
                <w:color w:val="000000"/>
                <w:sz w:val="28"/>
                <w:szCs w:val="28"/>
                <w:highlight w:val="none"/>
              </w:rPr>
            </w:pPr>
            <w:r>
              <w:rPr>
                <w:rFonts w:hint="eastAsia" w:ascii="仿宋_GB2312" w:eastAsia="仿宋"/>
                <w:color w:val="000000"/>
                <w:sz w:val="28"/>
                <w:szCs w:val="28"/>
                <w:highlight w:val="none"/>
              </w:rPr>
              <w:t xml:space="preserve">   起迄时间</w:t>
            </w:r>
          </w:p>
        </w:tc>
        <w:tc>
          <w:tcPr>
            <w:tcW w:w="1400" w:type="dxa"/>
            <w:vAlign w:val="center"/>
          </w:tcPr>
          <w:p>
            <w:pPr>
              <w:pStyle w:val="6"/>
              <w:spacing w:line="400" w:lineRule="atLeast"/>
              <w:ind w:left="0"/>
              <w:jc w:val="center"/>
              <w:rPr>
                <w:rFonts w:ascii="仿宋_GB2312" w:eastAsia="仿宋_GB2312"/>
                <w:color w:val="000000"/>
                <w:sz w:val="28"/>
                <w:szCs w:val="28"/>
                <w:highlight w:val="none"/>
              </w:rPr>
            </w:pPr>
            <w:r>
              <w:rPr>
                <w:rFonts w:hint="eastAsia" w:ascii="仿宋_GB2312" w:eastAsia="仿宋"/>
                <w:color w:val="000000"/>
                <w:sz w:val="28"/>
                <w:szCs w:val="28"/>
                <w:highlight w:val="none"/>
              </w:rPr>
              <w:t xml:space="preserve">  服务概况</w:t>
            </w:r>
          </w:p>
        </w:tc>
        <w:tc>
          <w:tcPr>
            <w:tcW w:w="2024" w:type="dxa"/>
            <w:vAlign w:val="center"/>
          </w:tcPr>
          <w:p>
            <w:pPr>
              <w:pStyle w:val="6"/>
              <w:spacing w:line="400" w:lineRule="atLeast"/>
              <w:ind w:left="0"/>
              <w:jc w:val="center"/>
              <w:rPr>
                <w:rFonts w:ascii="仿宋_GB2312" w:eastAsia="仿宋_GB2312"/>
                <w:color w:val="000000"/>
                <w:sz w:val="28"/>
                <w:szCs w:val="28"/>
                <w:highlight w:val="none"/>
              </w:rPr>
            </w:pPr>
            <w:r>
              <w:rPr>
                <w:rFonts w:hint="eastAsia" w:ascii="仿宋_GB2312" w:eastAsia="仿宋"/>
                <w:color w:val="000000"/>
                <w:sz w:val="28"/>
                <w:szCs w:val="28"/>
                <w:highlight w:val="none"/>
              </w:rPr>
              <w:t xml:space="preserve"> 业主单位名称</w:t>
            </w:r>
          </w:p>
        </w:tc>
        <w:tc>
          <w:tcPr>
            <w:tcW w:w="2634" w:type="dxa"/>
            <w:vAlign w:val="center"/>
          </w:tcPr>
          <w:p>
            <w:pPr>
              <w:pStyle w:val="6"/>
              <w:spacing w:line="400" w:lineRule="atLeast"/>
              <w:ind w:left="0"/>
              <w:jc w:val="center"/>
              <w:rPr>
                <w:rFonts w:ascii="仿宋_GB2312" w:eastAsia="仿宋"/>
                <w:color w:val="000000"/>
                <w:sz w:val="28"/>
                <w:szCs w:val="28"/>
                <w:highlight w:val="none"/>
              </w:rPr>
            </w:pPr>
            <w:r>
              <w:rPr>
                <w:rFonts w:hint="eastAsia" w:ascii="仿宋_GB2312" w:eastAsia="仿宋"/>
                <w:color w:val="000000"/>
                <w:sz w:val="28"/>
                <w:szCs w:val="28"/>
                <w:highlight w:val="none"/>
              </w:rPr>
              <w:t>业主类别</w:t>
            </w:r>
          </w:p>
          <w:p>
            <w:pPr>
              <w:pStyle w:val="6"/>
              <w:spacing w:line="400" w:lineRule="atLeast"/>
              <w:ind w:left="0"/>
              <w:rPr>
                <w:rFonts w:ascii="仿宋_GB2312" w:eastAsia="仿宋_GB2312"/>
                <w:color w:val="000000"/>
                <w:sz w:val="28"/>
                <w:szCs w:val="28"/>
                <w:highlight w:val="none"/>
              </w:rPr>
            </w:pPr>
            <w:r>
              <w:rPr>
                <w:rFonts w:hint="eastAsia" w:ascii="仿宋_GB2312" w:eastAsia="仿宋"/>
                <w:color w:val="000000"/>
                <w:highlight w:val="none"/>
              </w:rPr>
              <w:t>（ （政府机关、国有企业）</w:t>
            </w:r>
          </w:p>
        </w:tc>
        <w:tc>
          <w:tcPr>
            <w:tcW w:w="1392" w:type="dxa"/>
            <w:vAlign w:val="center"/>
          </w:tcPr>
          <w:p>
            <w:pPr>
              <w:pStyle w:val="6"/>
              <w:spacing w:line="400" w:lineRule="atLeast"/>
              <w:ind w:left="0" w:firstLine="0"/>
              <w:rPr>
                <w:rFonts w:ascii="仿宋_GB2312" w:eastAsia="仿宋_GB2312"/>
                <w:color w:val="000000"/>
                <w:sz w:val="28"/>
                <w:szCs w:val="28"/>
                <w:highlight w:val="none"/>
              </w:rPr>
            </w:pPr>
            <w:r>
              <w:rPr>
                <w:rFonts w:hint="eastAsia" w:ascii="仿宋_GB2312" w:eastAsia="仿宋"/>
                <w:color w:val="000000"/>
                <w:sz w:val="28"/>
                <w:szCs w:val="28"/>
                <w:highlight w:val="none"/>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pStyle w:val="6"/>
              <w:spacing w:line="400" w:lineRule="atLeast"/>
              <w:jc w:val="center"/>
              <w:rPr>
                <w:rFonts w:ascii="仿宋_GB2312" w:eastAsia="仿宋_GB2312"/>
                <w:color w:val="000000"/>
                <w:sz w:val="28"/>
                <w:szCs w:val="28"/>
                <w:highlight w:val="none"/>
              </w:rPr>
            </w:pPr>
          </w:p>
        </w:tc>
        <w:tc>
          <w:tcPr>
            <w:tcW w:w="1380" w:type="dxa"/>
          </w:tcPr>
          <w:p>
            <w:pPr>
              <w:pStyle w:val="6"/>
              <w:spacing w:line="400" w:lineRule="atLeast"/>
              <w:jc w:val="center"/>
              <w:rPr>
                <w:rFonts w:ascii="仿宋_GB2312" w:eastAsia="仿宋"/>
                <w:color w:val="000000"/>
                <w:sz w:val="28"/>
                <w:szCs w:val="28"/>
                <w:highlight w:val="none"/>
              </w:rPr>
            </w:pPr>
          </w:p>
          <w:p>
            <w:pPr>
              <w:pStyle w:val="6"/>
              <w:spacing w:line="400" w:lineRule="atLeast"/>
              <w:jc w:val="center"/>
              <w:rPr>
                <w:rFonts w:ascii="仿宋_GB2312" w:eastAsia="仿宋_GB2312"/>
                <w:color w:val="000000"/>
                <w:sz w:val="28"/>
                <w:szCs w:val="28"/>
                <w:highlight w:val="none"/>
              </w:rPr>
            </w:pPr>
          </w:p>
        </w:tc>
        <w:tc>
          <w:tcPr>
            <w:tcW w:w="1400" w:type="dxa"/>
          </w:tcPr>
          <w:p>
            <w:pPr>
              <w:pStyle w:val="6"/>
              <w:spacing w:line="400" w:lineRule="atLeast"/>
              <w:jc w:val="center"/>
              <w:rPr>
                <w:rFonts w:ascii="仿宋_GB2312" w:eastAsia="仿宋_GB2312"/>
                <w:color w:val="000000"/>
                <w:sz w:val="28"/>
                <w:szCs w:val="28"/>
                <w:highlight w:val="none"/>
              </w:rPr>
            </w:pPr>
          </w:p>
        </w:tc>
        <w:tc>
          <w:tcPr>
            <w:tcW w:w="2024" w:type="dxa"/>
          </w:tcPr>
          <w:p>
            <w:pPr>
              <w:pStyle w:val="6"/>
              <w:spacing w:line="400" w:lineRule="atLeast"/>
              <w:jc w:val="center"/>
              <w:rPr>
                <w:rFonts w:ascii="仿宋_GB2312" w:eastAsia="仿宋_GB2312"/>
                <w:color w:val="000000"/>
                <w:sz w:val="28"/>
                <w:szCs w:val="28"/>
                <w:highlight w:val="none"/>
              </w:rPr>
            </w:pPr>
          </w:p>
        </w:tc>
        <w:tc>
          <w:tcPr>
            <w:tcW w:w="2634" w:type="dxa"/>
          </w:tcPr>
          <w:p>
            <w:pPr>
              <w:pStyle w:val="6"/>
              <w:spacing w:line="400" w:lineRule="atLeast"/>
              <w:jc w:val="center"/>
              <w:rPr>
                <w:rFonts w:ascii="仿宋_GB2312" w:eastAsia="仿宋_GB2312"/>
                <w:color w:val="000000"/>
                <w:sz w:val="28"/>
                <w:szCs w:val="28"/>
                <w:highlight w:val="none"/>
              </w:rPr>
            </w:pPr>
          </w:p>
        </w:tc>
        <w:tc>
          <w:tcPr>
            <w:tcW w:w="1392" w:type="dxa"/>
          </w:tcPr>
          <w:p>
            <w:pPr>
              <w:pStyle w:val="6"/>
              <w:spacing w:line="400" w:lineRule="atLeast"/>
              <w:jc w:val="center"/>
              <w:rPr>
                <w:rFonts w:ascii="仿宋_GB2312"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pStyle w:val="6"/>
              <w:spacing w:line="400" w:lineRule="atLeast"/>
              <w:jc w:val="center"/>
              <w:rPr>
                <w:rFonts w:ascii="仿宋_GB2312" w:eastAsia="仿宋_GB2312"/>
                <w:color w:val="000000"/>
                <w:sz w:val="28"/>
                <w:szCs w:val="28"/>
                <w:highlight w:val="none"/>
              </w:rPr>
            </w:pPr>
          </w:p>
        </w:tc>
        <w:tc>
          <w:tcPr>
            <w:tcW w:w="1380" w:type="dxa"/>
          </w:tcPr>
          <w:p>
            <w:pPr>
              <w:pStyle w:val="6"/>
              <w:spacing w:line="400" w:lineRule="atLeast"/>
              <w:jc w:val="center"/>
              <w:rPr>
                <w:rFonts w:ascii="仿宋_GB2312" w:eastAsia="仿宋"/>
                <w:color w:val="000000"/>
                <w:sz w:val="28"/>
                <w:szCs w:val="28"/>
                <w:highlight w:val="none"/>
              </w:rPr>
            </w:pPr>
          </w:p>
          <w:p>
            <w:pPr>
              <w:pStyle w:val="6"/>
              <w:spacing w:line="400" w:lineRule="atLeast"/>
              <w:jc w:val="center"/>
              <w:rPr>
                <w:rFonts w:ascii="仿宋_GB2312" w:eastAsia="仿宋_GB2312"/>
                <w:color w:val="000000"/>
                <w:sz w:val="28"/>
                <w:szCs w:val="28"/>
                <w:highlight w:val="none"/>
              </w:rPr>
            </w:pPr>
          </w:p>
        </w:tc>
        <w:tc>
          <w:tcPr>
            <w:tcW w:w="1400" w:type="dxa"/>
          </w:tcPr>
          <w:p>
            <w:pPr>
              <w:pStyle w:val="6"/>
              <w:spacing w:line="400" w:lineRule="atLeast"/>
              <w:jc w:val="center"/>
              <w:rPr>
                <w:rFonts w:ascii="仿宋_GB2312" w:eastAsia="仿宋_GB2312"/>
                <w:color w:val="000000"/>
                <w:sz w:val="28"/>
                <w:szCs w:val="28"/>
                <w:highlight w:val="none"/>
              </w:rPr>
            </w:pPr>
          </w:p>
        </w:tc>
        <w:tc>
          <w:tcPr>
            <w:tcW w:w="2024" w:type="dxa"/>
          </w:tcPr>
          <w:p>
            <w:pPr>
              <w:pStyle w:val="6"/>
              <w:spacing w:line="400" w:lineRule="atLeast"/>
              <w:jc w:val="center"/>
              <w:rPr>
                <w:rFonts w:ascii="仿宋_GB2312" w:eastAsia="仿宋_GB2312"/>
                <w:color w:val="000000"/>
                <w:sz w:val="28"/>
                <w:szCs w:val="28"/>
                <w:highlight w:val="none"/>
              </w:rPr>
            </w:pPr>
          </w:p>
        </w:tc>
        <w:tc>
          <w:tcPr>
            <w:tcW w:w="2634" w:type="dxa"/>
          </w:tcPr>
          <w:p>
            <w:pPr>
              <w:pStyle w:val="6"/>
              <w:spacing w:line="400" w:lineRule="atLeast"/>
              <w:jc w:val="center"/>
              <w:rPr>
                <w:rFonts w:ascii="仿宋_GB2312" w:eastAsia="仿宋_GB2312"/>
                <w:color w:val="000000"/>
                <w:sz w:val="28"/>
                <w:szCs w:val="28"/>
                <w:highlight w:val="none"/>
              </w:rPr>
            </w:pPr>
          </w:p>
        </w:tc>
        <w:tc>
          <w:tcPr>
            <w:tcW w:w="1392" w:type="dxa"/>
          </w:tcPr>
          <w:p>
            <w:pPr>
              <w:pStyle w:val="6"/>
              <w:spacing w:line="400" w:lineRule="atLeast"/>
              <w:jc w:val="center"/>
              <w:rPr>
                <w:rFonts w:ascii="仿宋_GB2312"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pStyle w:val="6"/>
              <w:spacing w:line="400" w:lineRule="atLeast"/>
              <w:jc w:val="center"/>
              <w:rPr>
                <w:rFonts w:ascii="仿宋_GB2312" w:eastAsia="仿宋_GB2312"/>
                <w:color w:val="000000"/>
                <w:sz w:val="28"/>
                <w:szCs w:val="28"/>
                <w:highlight w:val="none"/>
              </w:rPr>
            </w:pPr>
          </w:p>
        </w:tc>
        <w:tc>
          <w:tcPr>
            <w:tcW w:w="1380" w:type="dxa"/>
          </w:tcPr>
          <w:p>
            <w:pPr>
              <w:pStyle w:val="6"/>
              <w:spacing w:line="400" w:lineRule="atLeast"/>
              <w:jc w:val="center"/>
              <w:rPr>
                <w:rFonts w:ascii="仿宋_GB2312" w:eastAsia="仿宋"/>
                <w:color w:val="000000"/>
                <w:sz w:val="28"/>
                <w:szCs w:val="28"/>
                <w:highlight w:val="none"/>
              </w:rPr>
            </w:pPr>
          </w:p>
          <w:p>
            <w:pPr>
              <w:pStyle w:val="6"/>
              <w:spacing w:line="400" w:lineRule="atLeast"/>
              <w:jc w:val="center"/>
              <w:rPr>
                <w:rFonts w:ascii="仿宋_GB2312" w:eastAsia="仿宋_GB2312"/>
                <w:color w:val="000000"/>
                <w:sz w:val="28"/>
                <w:szCs w:val="28"/>
                <w:highlight w:val="none"/>
              </w:rPr>
            </w:pPr>
          </w:p>
        </w:tc>
        <w:tc>
          <w:tcPr>
            <w:tcW w:w="1400" w:type="dxa"/>
          </w:tcPr>
          <w:p>
            <w:pPr>
              <w:pStyle w:val="6"/>
              <w:spacing w:line="400" w:lineRule="atLeast"/>
              <w:jc w:val="center"/>
              <w:rPr>
                <w:rFonts w:ascii="仿宋_GB2312" w:eastAsia="仿宋_GB2312"/>
                <w:color w:val="000000"/>
                <w:sz w:val="28"/>
                <w:szCs w:val="28"/>
                <w:highlight w:val="none"/>
              </w:rPr>
            </w:pPr>
          </w:p>
        </w:tc>
        <w:tc>
          <w:tcPr>
            <w:tcW w:w="2024" w:type="dxa"/>
          </w:tcPr>
          <w:p>
            <w:pPr>
              <w:pStyle w:val="6"/>
              <w:spacing w:line="400" w:lineRule="atLeast"/>
              <w:jc w:val="center"/>
              <w:rPr>
                <w:rFonts w:ascii="仿宋_GB2312" w:eastAsia="仿宋_GB2312"/>
                <w:color w:val="000000"/>
                <w:sz w:val="28"/>
                <w:szCs w:val="28"/>
                <w:highlight w:val="none"/>
              </w:rPr>
            </w:pPr>
          </w:p>
        </w:tc>
        <w:tc>
          <w:tcPr>
            <w:tcW w:w="2634" w:type="dxa"/>
          </w:tcPr>
          <w:p>
            <w:pPr>
              <w:pStyle w:val="6"/>
              <w:spacing w:line="400" w:lineRule="atLeast"/>
              <w:jc w:val="center"/>
              <w:rPr>
                <w:rFonts w:ascii="仿宋_GB2312" w:eastAsia="仿宋_GB2312"/>
                <w:color w:val="000000"/>
                <w:sz w:val="28"/>
                <w:szCs w:val="28"/>
                <w:highlight w:val="none"/>
              </w:rPr>
            </w:pPr>
          </w:p>
        </w:tc>
        <w:tc>
          <w:tcPr>
            <w:tcW w:w="1392" w:type="dxa"/>
          </w:tcPr>
          <w:p>
            <w:pPr>
              <w:pStyle w:val="6"/>
              <w:spacing w:line="400" w:lineRule="atLeast"/>
              <w:jc w:val="center"/>
              <w:rPr>
                <w:rFonts w:ascii="仿宋_GB2312"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pStyle w:val="6"/>
              <w:spacing w:line="400" w:lineRule="atLeast"/>
              <w:jc w:val="center"/>
              <w:rPr>
                <w:rFonts w:ascii="仿宋_GB2312" w:eastAsia="仿宋_GB2312"/>
                <w:color w:val="000000"/>
                <w:sz w:val="28"/>
                <w:szCs w:val="28"/>
                <w:highlight w:val="none"/>
              </w:rPr>
            </w:pPr>
          </w:p>
        </w:tc>
        <w:tc>
          <w:tcPr>
            <w:tcW w:w="1380" w:type="dxa"/>
          </w:tcPr>
          <w:p>
            <w:pPr>
              <w:pStyle w:val="6"/>
              <w:spacing w:line="400" w:lineRule="atLeast"/>
              <w:jc w:val="center"/>
              <w:rPr>
                <w:rFonts w:ascii="仿宋_GB2312" w:eastAsia="仿宋"/>
                <w:color w:val="000000"/>
                <w:sz w:val="28"/>
                <w:szCs w:val="28"/>
                <w:highlight w:val="none"/>
              </w:rPr>
            </w:pPr>
          </w:p>
          <w:p>
            <w:pPr>
              <w:pStyle w:val="6"/>
              <w:spacing w:line="400" w:lineRule="atLeast"/>
              <w:jc w:val="center"/>
              <w:rPr>
                <w:rFonts w:ascii="仿宋_GB2312" w:eastAsia="仿宋_GB2312"/>
                <w:color w:val="000000"/>
                <w:sz w:val="28"/>
                <w:szCs w:val="28"/>
                <w:highlight w:val="none"/>
              </w:rPr>
            </w:pPr>
          </w:p>
        </w:tc>
        <w:tc>
          <w:tcPr>
            <w:tcW w:w="1400" w:type="dxa"/>
          </w:tcPr>
          <w:p>
            <w:pPr>
              <w:pStyle w:val="6"/>
              <w:spacing w:line="400" w:lineRule="atLeast"/>
              <w:jc w:val="center"/>
              <w:rPr>
                <w:rFonts w:ascii="仿宋_GB2312" w:eastAsia="仿宋_GB2312"/>
                <w:color w:val="000000"/>
                <w:sz w:val="28"/>
                <w:szCs w:val="28"/>
                <w:highlight w:val="none"/>
              </w:rPr>
            </w:pPr>
          </w:p>
        </w:tc>
        <w:tc>
          <w:tcPr>
            <w:tcW w:w="2024" w:type="dxa"/>
          </w:tcPr>
          <w:p>
            <w:pPr>
              <w:pStyle w:val="6"/>
              <w:spacing w:line="400" w:lineRule="atLeast"/>
              <w:jc w:val="center"/>
              <w:rPr>
                <w:rFonts w:ascii="仿宋_GB2312" w:eastAsia="仿宋_GB2312"/>
                <w:color w:val="000000"/>
                <w:sz w:val="28"/>
                <w:szCs w:val="28"/>
                <w:highlight w:val="none"/>
              </w:rPr>
            </w:pPr>
          </w:p>
        </w:tc>
        <w:tc>
          <w:tcPr>
            <w:tcW w:w="2634" w:type="dxa"/>
          </w:tcPr>
          <w:p>
            <w:pPr>
              <w:pStyle w:val="6"/>
              <w:spacing w:line="400" w:lineRule="atLeast"/>
              <w:jc w:val="center"/>
              <w:rPr>
                <w:rFonts w:ascii="仿宋_GB2312" w:eastAsia="仿宋_GB2312"/>
                <w:color w:val="000000"/>
                <w:sz w:val="28"/>
                <w:szCs w:val="28"/>
                <w:highlight w:val="none"/>
              </w:rPr>
            </w:pPr>
          </w:p>
        </w:tc>
        <w:tc>
          <w:tcPr>
            <w:tcW w:w="1392" w:type="dxa"/>
          </w:tcPr>
          <w:p>
            <w:pPr>
              <w:pStyle w:val="6"/>
              <w:spacing w:line="400" w:lineRule="atLeast"/>
              <w:jc w:val="center"/>
              <w:rPr>
                <w:rFonts w:ascii="仿宋_GB2312"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0" w:type="dxa"/>
          </w:tcPr>
          <w:p>
            <w:pPr>
              <w:pStyle w:val="6"/>
              <w:spacing w:line="400" w:lineRule="atLeast"/>
              <w:jc w:val="center"/>
              <w:rPr>
                <w:rFonts w:ascii="仿宋_GB2312" w:eastAsia="仿宋_GB2312"/>
                <w:color w:val="000000"/>
                <w:sz w:val="28"/>
                <w:szCs w:val="28"/>
                <w:highlight w:val="none"/>
              </w:rPr>
            </w:pPr>
          </w:p>
        </w:tc>
        <w:tc>
          <w:tcPr>
            <w:tcW w:w="1380" w:type="dxa"/>
          </w:tcPr>
          <w:p>
            <w:pPr>
              <w:pStyle w:val="6"/>
              <w:spacing w:line="400" w:lineRule="atLeast"/>
              <w:jc w:val="center"/>
              <w:rPr>
                <w:rFonts w:ascii="仿宋_GB2312" w:eastAsia="仿宋"/>
                <w:color w:val="000000"/>
                <w:sz w:val="28"/>
                <w:szCs w:val="28"/>
                <w:highlight w:val="none"/>
              </w:rPr>
            </w:pPr>
          </w:p>
          <w:p>
            <w:pPr>
              <w:pStyle w:val="6"/>
              <w:spacing w:line="400" w:lineRule="atLeast"/>
              <w:jc w:val="center"/>
              <w:rPr>
                <w:rFonts w:ascii="仿宋_GB2312" w:eastAsia="仿宋_GB2312"/>
                <w:color w:val="000000"/>
                <w:sz w:val="28"/>
                <w:szCs w:val="28"/>
                <w:highlight w:val="none"/>
              </w:rPr>
            </w:pPr>
          </w:p>
        </w:tc>
        <w:tc>
          <w:tcPr>
            <w:tcW w:w="1400" w:type="dxa"/>
          </w:tcPr>
          <w:p>
            <w:pPr>
              <w:pStyle w:val="6"/>
              <w:spacing w:line="400" w:lineRule="atLeast"/>
              <w:jc w:val="center"/>
              <w:rPr>
                <w:rFonts w:ascii="仿宋_GB2312" w:eastAsia="仿宋_GB2312"/>
                <w:color w:val="000000"/>
                <w:sz w:val="28"/>
                <w:szCs w:val="28"/>
                <w:highlight w:val="none"/>
              </w:rPr>
            </w:pPr>
          </w:p>
        </w:tc>
        <w:tc>
          <w:tcPr>
            <w:tcW w:w="2024" w:type="dxa"/>
          </w:tcPr>
          <w:p>
            <w:pPr>
              <w:pStyle w:val="6"/>
              <w:spacing w:line="400" w:lineRule="atLeast"/>
              <w:jc w:val="center"/>
              <w:rPr>
                <w:rFonts w:ascii="仿宋_GB2312" w:eastAsia="仿宋_GB2312"/>
                <w:color w:val="000000"/>
                <w:sz w:val="28"/>
                <w:szCs w:val="28"/>
                <w:highlight w:val="none"/>
              </w:rPr>
            </w:pPr>
          </w:p>
        </w:tc>
        <w:tc>
          <w:tcPr>
            <w:tcW w:w="2634" w:type="dxa"/>
          </w:tcPr>
          <w:p>
            <w:pPr>
              <w:pStyle w:val="6"/>
              <w:spacing w:line="400" w:lineRule="atLeast"/>
              <w:jc w:val="center"/>
              <w:rPr>
                <w:rFonts w:ascii="仿宋_GB2312" w:eastAsia="仿宋_GB2312"/>
                <w:color w:val="000000"/>
                <w:sz w:val="28"/>
                <w:szCs w:val="28"/>
                <w:highlight w:val="none"/>
              </w:rPr>
            </w:pPr>
          </w:p>
        </w:tc>
        <w:tc>
          <w:tcPr>
            <w:tcW w:w="1392" w:type="dxa"/>
          </w:tcPr>
          <w:p>
            <w:pPr>
              <w:pStyle w:val="6"/>
              <w:spacing w:line="400" w:lineRule="atLeast"/>
              <w:jc w:val="center"/>
              <w:rPr>
                <w:rFonts w:ascii="仿宋_GB2312" w:eastAsia="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380" w:type="dxa"/>
          </w:tcPr>
          <w:p>
            <w:pPr>
              <w:pStyle w:val="6"/>
              <w:spacing w:line="400" w:lineRule="atLeast"/>
              <w:jc w:val="center"/>
              <w:rPr>
                <w:rFonts w:ascii="仿宋_GB2312" w:eastAsia="仿宋_GB2312"/>
                <w:color w:val="000000"/>
                <w:sz w:val="28"/>
                <w:szCs w:val="28"/>
                <w:highlight w:val="none"/>
              </w:rPr>
            </w:pPr>
          </w:p>
        </w:tc>
        <w:tc>
          <w:tcPr>
            <w:tcW w:w="1380" w:type="dxa"/>
          </w:tcPr>
          <w:p>
            <w:pPr>
              <w:pStyle w:val="6"/>
              <w:spacing w:line="400" w:lineRule="atLeast"/>
              <w:jc w:val="center"/>
              <w:rPr>
                <w:rFonts w:ascii="仿宋_GB2312" w:eastAsia="仿宋_GB2312"/>
                <w:color w:val="000000"/>
                <w:sz w:val="28"/>
                <w:szCs w:val="28"/>
                <w:highlight w:val="none"/>
              </w:rPr>
            </w:pPr>
          </w:p>
        </w:tc>
        <w:tc>
          <w:tcPr>
            <w:tcW w:w="1400" w:type="dxa"/>
          </w:tcPr>
          <w:p>
            <w:pPr>
              <w:pStyle w:val="6"/>
              <w:spacing w:line="400" w:lineRule="atLeast"/>
              <w:jc w:val="center"/>
              <w:rPr>
                <w:rFonts w:ascii="仿宋_GB2312" w:eastAsia="仿宋_GB2312"/>
                <w:color w:val="000000"/>
                <w:sz w:val="28"/>
                <w:szCs w:val="28"/>
                <w:highlight w:val="none"/>
              </w:rPr>
            </w:pPr>
          </w:p>
        </w:tc>
        <w:tc>
          <w:tcPr>
            <w:tcW w:w="2024" w:type="dxa"/>
          </w:tcPr>
          <w:p>
            <w:pPr>
              <w:pStyle w:val="6"/>
              <w:spacing w:line="400" w:lineRule="atLeast"/>
              <w:jc w:val="center"/>
              <w:rPr>
                <w:rFonts w:ascii="仿宋_GB2312" w:eastAsia="仿宋_GB2312"/>
                <w:color w:val="000000"/>
                <w:sz w:val="28"/>
                <w:szCs w:val="28"/>
                <w:highlight w:val="none"/>
              </w:rPr>
            </w:pPr>
          </w:p>
        </w:tc>
        <w:tc>
          <w:tcPr>
            <w:tcW w:w="2634" w:type="dxa"/>
          </w:tcPr>
          <w:p>
            <w:pPr>
              <w:pStyle w:val="6"/>
              <w:spacing w:line="400" w:lineRule="atLeast"/>
              <w:jc w:val="center"/>
              <w:rPr>
                <w:rFonts w:ascii="仿宋_GB2312" w:eastAsia="仿宋_GB2312"/>
                <w:color w:val="000000"/>
                <w:sz w:val="28"/>
                <w:szCs w:val="28"/>
                <w:highlight w:val="none"/>
              </w:rPr>
            </w:pPr>
          </w:p>
        </w:tc>
        <w:tc>
          <w:tcPr>
            <w:tcW w:w="1392" w:type="dxa"/>
          </w:tcPr>
          <w:p>
            <w:pPr>
              <w:pStyle w:val="6"/>
              <w:spacing w:line="400" w:lineRule="atLeast"/>
              <w:jc w:val="center"/>
              <w:rPr>
                <w:rFonts w:ascii="仿宋_GB2312" w:eastAsia="仿宋_GB2312"/>
                <w:color w:val="000000"/>
                <w:sz w:val="28"/>
                <w:szCs w:val="28"/>
                <w:highlight w:val="none"/>
              </w:rPr>
            </w:pPr>
          </w:p>
        </w:tc>
      </w:tr>
    </w:tbl>
    <w:p>
      <w:pPr>
        <w:pStyle w:val="6"/>
        <w:ind w:left="730" w:hanging="729" w:hangingChars="304"/>
        <w:rPr>
          <w:rFonts w:ascii="仿宋_GB2312" w:eastAsia="仿宋"/>
          <w:color w:val="000000"/>
          <w:highlight w:val="none"/>
        </w:rPr>
      </w:pPr>
      <w:r>
        <w:rPr>
          <w:rFonts w:hint="eastAsia" w:ascii="仿宋_GB2312" w:eastAsia="仿宋"/>
          <w:color w:val="000000"/>
          <w:highlight w:val="none"/>
        </w:rPr>
        <w:t>注：1、近3年以委托人与投标人所签订的常年法律服务合同时间为准。</w:t>
      </w:r>
    </w:p>
    <w:p>
      <w:pPr>
        <w:pStyle w:val="6"/>
        <w:ind w:left="0" w:firstLine="480" w:firstLineChars="200"/>
        <w:rPr>
          <w:rFonts w:ascii="仿宋_GB2312" w:eastAsia="仿宋"/>
          <w:color w:val="000000"/>
          <w:highlight w:val="none"/>
        </w:rPr>
      </w:pPr>
      <w:r>
        <w:rPr>
          <w:rFonts w:hint="eastAsia" w:ascii="仿宋_GB2312" w:eastAsia="仿宋"/>
          <w:color w:val="000000"/>
          <w:highlight w:val="none"/>
        </w:rPr>
        <w:t xml:space="preserve">2、服务概况包括：公司规模及所代理法律服务的主要内容等； </w:t>
      </w:r>
    </w:p>
    <w:p>
      <w:pPr>
        <w:pStyle w:val="6"/>
        <w:ind w:left="0" w:firstLine="480" w:firstLineChars="200"/>
        <w:rPr>
          <w:rFonts w:ascii="仿宋_GB2312" w:eastAsia="仿宋"/>
          <w:color w:val="000000"/>
          <w:highlight w:val="none"/>
        </w:rPr>
      </w:pPr>
      <w:r>
        <w:rPr>
          <w:rFonts w:hint="eastAsia" w:ascii="仿宋_GB2312" w:eastAsia="仿宋"/>
          <w:color w:val="000000"/>
          <w:highlight w:val="none"/>
        </w:rPr>
        <w:t>3、完成情况填入：正在进行（注明已完工作量的比例）/已全部完成；</w:t>
      </w:r>
    </w:p>
    <w:p>
      <w:pPr>
        <w:ind w:firstLine="480" w:firstLineChars="200"/>
        <w:rPr>
          <w:rFonts w:ascii="仿宋" w:hAnsi="仿宋" w:eastAsia="仿宋" w:cs="仿宋"/>
          <w:sz w:val="32"/>
          <w:highlight w:val="none"/>
        </w:rPr>
        <w:sectPr>
          <w:pgSz w:w="11907" w:h="16840"/>
          <w:pgMar w:top="1134" w:right="1247" w:bottom="1021" w:left="1247" w:header="851" w:footer="851" w:gutter="0"/>
          <w:cols w:space="720" w:num="1"/>
          <w:docGrid w:type="lines" w:linePitch="462" w:charSpace="0"/>
        </w:sectPr>
      </w:pPr>
      <w:r>
        <w:rPr>
          <w:rFonts w:hint="eastAsia" w:ascii="仿宋_GB2312" w:eastAsia="仿宋"/>
          <w:color w:val="000000"/>
          <w:sz w:val="24"/>
          <w:highlight w:val="none"/>
        </w:rPr>
        <w:t>4、投标人应附对应法律服务的合同文本或中标通知书（复印件），如无相关证明材料，招标人将不予认可投标人所填业绩。</w:t>
      </w:r>
    </w:p>
    <w:p>
      <w:pPr>
        <w:pStyle w:val="6"/>
        <w:ind w:left="636" w:leftChars="199" w:hanging="218"/>
        <w:jc w:val="center"/>
        <w:rPr>
          <w:rFonts w:ascii="仿宋_GB2312" w:eastAsia="仿宋_GB2312"/>
          <w:b/>
          <w:color w:val="000000"/>
          <w:sz w:val="30"/>
          <w:szCs w:val="30"/>
          <w:highlight w:val="none"/>
        </w:rPr>
      </w:pPr>
      <w:r>
        <w:rPr>
          <w:rFonts w:hint="eastAsia" w:ascii="仿宋_GB2312" w:eastAsia="仿宋"/>
          <w:b/>
          <w:color w:val="000000"/>
          <w:sz w:val="30"/>
          <w:szCs w:val="30"/>
          <w:highlight w:val="none"/>
        </w:rPr>
        <w:t>附件6：合同指派律师资历表</w:t>
      </w:r>
    </w:p>
    <w:tbl>
      <w:tblPr>
        <w:tblStyle w:val="13"/>
        <w:tblW w:w="8862" w:type="dxa"/>
        <w:tblInd w:w="0" w:type="dxa"/>
        <w:tblLayout w:type="fixed"/>
        <w:tblCellMar>
          <w:top w:w="15" w:type="dxa"/>
          <w:left w:w="15" w:type="dxa"/>
          <w:bottom w:w="15" w:type="dxa"/>
          <w:right w:w="15" w:type="dxa"/>
        </w:tblCellMar>
      </w:tblPr>
      <w:tblGrid>
        <w:gridCol w:w="696"/>
        <w:gridCol w:w="1357"/>
        <w:gridCol w:w="1150"/>
        <w:gridCol w:w="748"/>
        <w:gridCol w:w="2370"/>
        <w:gridCol w:w="2541"/>
      </w:tblGrid>
      <w:tr>
        <w:tblPrEx>
          <w:tblCellMar>
            <w:top w:w="15" w:type="dxa"/>
            <w:left w:w="15" w:type="dxa"/>
            <w:bottom w:w="15" w:type="dxa"/>
            <w:right w:w="15" w:type="dxa"/>
          </w:tblCellMar>
        </w:tblPrEx>
        <w:trPr>
          <w:trHeight w:val="3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姓名</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color w:val="000000"/>
                <w:sz w:val="28"/>
                <w:szCs w:val="28"/>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职务</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color w:val="000000"/>
                <w:sz w:val="28"/>
                <w:szCs w:val="28"/>
                <w:highlight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职称</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highlight w:val="none"/>
                <w:lang w:bidi="ar"/>
              </w:rPr>
            </w:pPr>
          </w:p>
        </w:tc>
      </w:tr>
      <w:tr>
        <w:tblPrEx>
          <w:tblCellMar>
            <w:top w:w="15" w:type="dxa"/>
            <w:left w:w="15" w:type="dxa"/>
            <w:bottom w:w="15" w:type="dxa"/>
            <w:right w:w="15" w:type="dxa"/>
          </w:tblCellMar>
        </w:tblPrEx>
        <w:trPr>
          <w:trHeight w:val="3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年龄</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color w:val="000000"/>
                <w:sz w:val="28"/>
                <w:szCs w:val="28"/>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拟任职</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color w:val="000000"/>
                <w:sz w:val="28"/>
                <w:szCs w:val="28"/>
                <w:highlight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参加工作时间</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kern w:val="0"/>
                <w:sz w:val="28"/>
                <w:szCs w:val="28"/>
                <w:highlight w:val="none"/>
                <w:lang w:bidi="ar"/>
              </w:rPr>
            </w:pPr>
          </w:p>
        </w:tc>
      </w:tr>
      <w:tr>
        <w:tblPrEx>
          <w:tblCellMar>
            <w:top w:w="15" w:type="dxa"/>
            <w:left w:w="15" w:type="dxa"/>
            <w:bottom w:w="15" w:type="dxa"/>
            <w:right w:w="15" w:type="dxa"/>
          </w:tblCellMar>
        </w:tblPrEx>
        <w:trPr>
          <w:trHeight w:val="870" w:hRule="atLeast"/>
        </w:trPr>
        <w:tc>
          <w:tcPr>
            <w:tcW w:w="2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学历</w:t>
            </w:r>
            <w:r>
              <w:rPr>
                <w:rFonts w:hint="eastAsia" w:ascii="仿宋" w:hAnsi="仿宋" w:eastAsia="仿宋" w:cs="仿宋"/>
                <w:color w:val="000000"/>
                <w:kern w:val="0"/>
                <w:sz w:val="28"/>
                <w:szCs w:val="28"/>
                <w:highlight w:val="none"/>
                <w:lang w:bidi="ar"/>
              </w:rPr>
              <w:br w:type="textWrapping"/>
            </w:r>
            <w:r>
              <w:rPr>
                <w:rFonts w:hint="eastAsia" w:ascii="仿宋" w:hAnsi="仿宋" w:eastAsia="仿宋" w:cs="仿宋"/>
                <w:color w:val="000000"/>
                <w:kern w:val="0"/>
                <w:sz w:val="28"/>
                <w:szCs w:val="28"/>
                <w:highlight w:val="none"/>
                <w:lang w:bidi="ar"/>
              </w:rPr>
              <w:t>（毕业学校、时间、专业）</w:t>
            </w:r>
          </w:p>
        </w:tc>
        <w:tc>
          <w:tcPr>
            <w:tcW w:w="42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color w:val="000000"/>
                <w:sz w:val="28"/>
                <w:szCs w:val="28"/>
                <w:highlight w:val="none"/>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color w:val="000000"/>
                <w:sz w:val="28"/>
                <w:szCs w:val="28"/>
                <w:highlight w:val="none"/>
              </w:rPr>
            </w:pPr>
          </w:p>
        </w:tc>
      </w:tr>
      <w:tr>
        <w:tblPrEx>
          <w:tblCellMar>
            <w:top w:w="15" w:type="dxa"/>
            <w:left w:w="15" w:type="dxa"/>
            <w:bottom w:w="15" w:type="dxa"/>
            <w:right w:w="15"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序号</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近三年承担的常年法律顾问服务概况</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起迄时间</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业主单位名称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8"/>
                <w:szCs w:val="28"/>
                <w:highlight w:val="none"/>
              </w:rPr>
            </w:pPr>
            <w:r>
              <w:rPr>
                <w:rFonts w:hint="eastAsia" w:ascii="仿宋" w:hAnsi="仿宋" w:eastAsia="仿宋" w:cs="仿宋"/>
                <w:color w:val="000000"/>
                <w:kern w:val="0"/>
                <w:sz w:val="28"/>
                <w:szCs w:val="28"/>
                <w:highlight w:val="none"/>
                <w:lang w:bidi="ar"/>
              </w:rPr>
              <w:t>业主类别</w:t>
            </w:r>
            <w:r>
              <w:rPr>
                <w:rFonts w:ascii="宋体" w:hAnsi="宋体" w:cs="宋体"/>
                <w:color w:val="000000"/>
                <w:kern w:val="0"/>
                <w:sz w:val="28"/>
                <w:szCs w:val="28"/>
                <w:highlight w:val="none"/>
                <w:lang w:bidi="ar"/>
              </w:rPr>
              <w:br w:type="textWrapping"/>
            </w:r>
            <w:r>
              <w:rPr>
                <w:rFonts w:hint="eastAsia" w:ascii="仿宋" w:hAnsi="仿宋" w:eastAsia="仿宋" w:cs="仿宋"/>
                <w:color w:val="000000"/>
                <w:kern w:val="0"/>
                <w:sz w:val="28"/>
                <w:szCs w:val="28"/>
                <w:highlight w:val="none"/>
                <w:lang w:bidi="ar"/>
              </w:rPr>
              <w:t>（省属国有企业、市属国有企业或其他）</w:t>
            </w: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bidi="ar"/>
              </w:rPr>
              <w:t>完成情况</w:t>
            </w:r>
          </w:p>
        </w:tc>
      </w:tr>
      <w:tr>
        <w:tblPrEx>
          <w:tblCellMar>
            <w:top w:w="15" w:type="dxa"/>
            <w:left w:w="15" w:type="dxa"/>
            <w:bottom w:w="15" w:type="dxa"/>
            <w:right w:w="15"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r>
      <w:tr>
        <w:tblPrEx>
          <w:tblCellMar>
            <w:top w:w="15" w:type="dxa"/>
            <w:left w:w="15" w:type="dxa"/>
            <w:bottom w:w="15" w:type="dxa"/>
            <w:right w:w="15"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r>
      <w:tr>
        <w:tblPrEx>
          <w:tblCellMar>
            <w:top w:w="15" w:type="dxa"/>
            <w:left w:w="15" w:type="dxa"/>
            <w:bottom w:w="15" w:type="dxa"/>
            <w:right w:w="15"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r>
      <w:tr>
        <w:tblPrEx>
          <w:tblCellMar>
            <w:top w:w="15" w:type="dxa"/>
            <w:left w:w="15" w:type="dxa"/>
            <w:bottom w:w="15" w:type="dxa"/>
            <w:right w:w="15"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color w:val="000000"/>
                <w:sz w:val="20"/>
                <w:szCs w:val="20"/>
                <w:highlight w:val="none"/>
              </w:rPr>
            </w:pPr>
          </w:p>
        </w:tc>
      </w:tr>
    </w:tbl>
    <w:p>
      <w:pPr>
        <w:widowControl/>
        <w:autoSpaceDE w:val="0"/>
        <w:autoSpaceDN w:val="0"/>
        <w:ind w:left="617" w:hanging="616" w:hangingChars="257"/>
        <w:textAlignment w:val="bottom"/>
        <w:rPr>
          <w:rFonts w:ascii="仿宋_GB2312" w:eastAsia="仿宋"/>
          <w:color w:val="000000"/>
          <w:sz w:val="24"/>
          <w:highlight w:val="none"/>
        </w:rPr>
      </w:pPr>
    </w:p>
    <w:p>
      <w:pPr>
        <w:widowControl/>
        <w:autoSpaceDE w:val="0"/>
        <w:autoSpaceDN w:val="0"/>
        <w:textAlignment w:val="bottom"/>
        <w:rPr>
          <w:rFonts w:ascii="仿宋_GB2312" w:eastAsia="仿宋"/>
          <w:color w:val="000000"/>
          <w:sz w:val="24"/>
          <w:highlight w:val="none"/>
        </w:rPr>
      </w:pPr>
      <w:r>
        <w:rPr>
          <w:rFonts w:hint="eastAsia" w:ascii="仿宋_GB2312" w:eastAsia="仿宋"/>
          <w:color w:val="000000"/>
          <w:sz w:val="24"/>
          <w:highlight w:val="none"/>
        </w:rPr>
        <w:t>注：</w:t>
      </w:r>
    </w:p>
    <w:p>
      <w:pPr>
        <w:widowControl/>
        <w:autoSpaceDE w:val="0"/>
        <w:autoSpaceDN w:val="0"/>
        <w:spacing w:line="400" w:lineRule="exact"/>
        <w:textAlignment w:val="bottom"/>
        <w:rPr>
          <w:rFonts w:ascii="仿宋" w:hAnsi="仿宋" w:eastAsia="仿宋" w:cs="仿宋"/>
          <w:color w:val="000000"/>
          <w:sz w:val="24"/>
          <w:highlight w:val="none"/>
        </w:rPr>
      </w:pPr>
      <w:r>
        <w:rPr>
          <w:rFonts w:hint="eastAsia" w:ascii="仿宋" w:hAnsi="仿宋" w:eastAsia="仿宋" w:cs="仿宋"/>
          <w:color w:val="000000"/>
          <w:sz w:val="24"/>
          <w:highlight w:val="none"/>
        </w:rPr>
        <w:t>1、在本表后应附本人证件复印件：身份证、毕业证、律师执业证等。</w:t>
      </w:r>
    </w:p>
    <w:p>
      <w:pPr>
        <w:pStyle w:val="6"/>
        <w:spacing w:line="400" w:lineRule="exact"/>
        <w:ind w:left="0" w:firstLine="0"/>
        <w:rPr>
          <w:rFonts w:ascii="仿宋" w:hAnsi="仿宋" w:eastAsia="仿宋" w:cs="仿宋"/>
          <w:color w:val="000000"/>
          <w:highlight w:val="none"/>
        </w:rPr>
      </w:pPr>
      <w:r>
        <w:rPr>
          <w:rFonts w:hint="eastAsia" w:ascii="仿宋" w:hAnsi="仿宋" w:eastAsia="仿宋" w:cs="仿宋"/>
          <w:color w:val="000000"/>
          <w:highlight w:val="none"/>
        </w:rPr>
        <w:t>2、近3年以委托人与投标人所签订的常年法律服务合同时间为准。</w:t>
      </w:r>
    </w:p>
    <w:p>
      <w:pPr>
        <w:pStyle w:val="6"/>
        <w:spacing w:line="400" w:lineRule="exact"/>
        <w:ind w:left="0" w:firstLine="0"/>
        <w:rPr>
          <w:rFonts w:ascii="仿宋" w:hAnsi="仿宋" w:eastAsia="仿宋" w:cs="仿宋"/>
          <w:color w:val="000000"/>
          <w:highlight w:val="none"/>
        </w:rPr>
      </w:pPr>
      <w:r>
        <w:rPr>
          <w:rFonts w:hint="eastAsia" w:ascii="仿宋" w:hAnsi="仿宋" w:eastAsia="仿宋" w:cs="仿宋"/>
          <w:color w:val="000000"/>
          <w:highlight w:val="none"/>
        </w:rPr>
        <w:t>3、服务概况包括：公司规模及所代理法律服务的主要内容等；</w:t>
      </w:r>
    </w:p>
    <w:p>
      <w:pPr>
        <w:pStyle w:val="6"/>
        <w:spacing w:line="400" w:lineRule="exact"/>
        <w:ind w:left="0" w:firstLine="0"/>
        <w:rPr>
          <w:rFonts w:ascii="仿宋" w:hAnsi="仿宋" w:eastAsia="仿宋" w:cs="仿宋"/>
          <w:color w:val="000000"/>
          <w:highlight w:val="none"/>
        </w:rPr>
      </w:pPr>
      <w:r>
        <w:rPr>
          <w:rFonts w:hint="eastAsia" w:ascii="仿宋" w:hAnsi="仿宋" w:eastAsia="仿宋" w:cs="仿宋"/>
          <w:color w:val="000000"/>
          <w:highlight w:val="none"/>
        </w:rPr>
        <w:t>4、完成情况填入：正在进行（注明已完工作量的比例）/已全部完成；</w:t>
      </w:r>
    </w:p>
    <w:p>
      <w:pPr>
        <w:spacing w:line="400" w:lineRule="exact"/>
        <w:rPr>
          <w:rFonts w:ascii="仿宋" w:hAnsi="仿宋" w:eastAsia="仿宋" w:cs="仿宋"/>
          <w:color w:val="000000"/>
          <w:sz w:val="24"/>
          <w:highlight w:val="none"/>
        </w:rPr>
        <w:sectPr>
          <w:pgSz w:w="11906" w:h="16838"/>
          <w:pgMar w:top="993" w:right="1274" w:bottom="1440" w:left="1800" w:header="851" w:footer="992" w:gutter="0"/>
          <w:cols w:space="720" w:num="1"/>
          <w:docGrid w:type="lines" w:linePitch="312" w:charSpace="0"/>
        </w:sectPr>
      </w:pPr>
      <w:r>
        <w:rPr>
          <w:rFonts w:hint="eastAsia" w:ascii="仿宋" w:hAnsi="仿宋" w:eastAsia="仿宋" w:cs="仿宋"/>
          <w:color w:val="000000"/>
          <w:sz w:val="24"/>
          <w:highlight w:val="none"/>
        </w:rPr>
        <w:t>5、在本表后应附本人满足资格评审要求的个人业绩证明材料，如法律服务合同（复印件）需反映本人承担了该合同任务，如无相关证明材料，招标人将不予认可投标人所填律师团队成员的业绩。</w:t>
      </w:r>
    </w:p>
    <w:p>
      <w:pPr>
        <w:jc w:val="center"/>
        <w:rPr>
          <w:rFonts w:ascii="仿宋" w:hAnsi="仿宋" w:eastAsia="仿宋" w:cs="仿宋"/>
          <w:highlight w:val="none"/>
        </w:rPr>
      </w:pPr>
      <w:r>
        <w:rPr>
          <w:rFonts w:hint="eastAsia" w:ascii="仿宋" w:hAnsi="仿宋" w:eastAsia="仿宋" w:cs="仿宋"/>
          <w:b/>
          <w:bCs/>
          <w:color w:val="000000"/>
          <w:sz w:val="30"/>
          <w:szCs w:val="30"/>
          <w:highlight w:val="none"/>
          <w:lang w:bidi="ar"/>
        </w:rPr>
        <w:t>附件7：</w:t>
      </w:r>
      <w:r>
        <w:rPr>
          <w:rFonts w:hint="eastAsia" w:ascii="仿宋" w:hAnsi="仿宋" w:eastAsia="仿宋" w:cs="仿宋"/>
          <w:b/>
          <w:bCs/>
          <w:sz w:val="30"/>
          <w:szCs w:val="30"/>
          <w:highlight w:val="none"/>
        </w:rPr>
        <w:t>法律顾问费用报价函</w:t>
      </w:r>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32"/>
          <w:highlight w:val="none"/>
        </w:rPr>
      </w:pPr>
      <w:r>
        <w:rPr>
          <w:rFonts w:hint="eastAsia" w:ascii="仿宋" w:hAnsi="仿宋" w:eastAsia="仿宋" w:cs="仿宋"/>
          <w:sz w:val="32"/>
          <w:highlight w:val="none"/>
          <w:u w:val="single"/>
        </w:rPr>
        <w:t>武汉生态环境设计研究院有限公司</w:t>
      </w:r>
      <w:r>
        <w:rPr>
          <w:rFonts w:hint="eastAsia" w:ascii="仿宋" w:hAnsi="仿宋" w:eastAsia="仿宋" w:cs="仿宋"/>
          <w:sz w:val="32"/>
          <w:highlight w:val="none"/>
        </w:rPr>
        <w:t>：</w:t>
      </w:r>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1．经认真研究，我方接受《公告》中的相关内容，我方愿意以</w:t>
      </w:r>
      <w:r>
        <w:rPr>
          <w:rFonts w:hint="eastAsia" w:ascii="仿宋" w:hAnsi="仿宋" w:eastAsia="仿宋" w:cs="仿宋"/>
          <w:sz w:val="32"/>
          <w:highlight w:val="none"/>
          <w:u w:val="single"/>
        </w:rPr>
        <w:t xml:space="preserve">        </w:t>
      </w:r>
      <w:r>
        <w:rPr>
          <w:rFonts w:hint="eastAsia" w:ascii="仿宋" w:hAnsi="仿宋" w:eastAsia="仿宋" w:cs="仿宋"/>
          <w:sz w:val="32"/>
          <w:highlight w:val="none"/>
        </w:rPr>
        <w:t>元/年价格接受贵司的法律服务工作，如我方有幸竞聘成功，该报价将是与贵司签订法律顾问协议的最终价款。</w:t>
      </w:r>
    </w:p>
    <w:p>
      <w:pPr>
        <w:pStyle w:val="17"/>
        <w:tabs>
          <w:tab w:val="left" w:pos="420"/>
        </w:tabs>
        <w:ind w:firstLine="640" w:firstLineChars="200"/>
        <w:outlineLvl w:val="2"/>
        <w:rPr>
          <w:rFonts w:hint="eastAsia" w:ascii="仿宋" w:hAnsi="仿宋" w:eastAsia="仿宋" w:cs="仿宋"/>
          <w:sz w:val="32"/>
          <w:highlight w:val="none"/>
        </w:rPr>
      </w:pPr>
      <w:r>
        <w:rPr>
          <w:rFonts w:hint="eastAsia" w:ascii="仿宋" w:hAnsi="仿宋" w:eastAsia="仿宋" w:cs="仿宋"/>
          <w:sz w:val="32"/>
          <w:highlight w:val="none"/>
        </w:rPr>
        <w:t>（注：第一年法律顾问服务费用为：我方报价扣减贵司与我方签署法律服务协议时贵司所属一公司所聘法律顾问剩余服务期限所对应法律服务费之后的金额。）</w:t>
      </w:r>
    </w:p>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2．我方对下列表格内容依次做出相关承诺。</w:t>
      </w: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5683"/>
        <w:gridCol w:w="1136"/>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60" w:type="dxa"/>
            <w:gridSpan w:val="4"/>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b/>
                <w:sz w:val="24"/>
                <w:highlight w:val="none"/>
              </w:rPr>
              <w:t>投标人服务范围及方式承诺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序号</w:t>
            </w:r>
          </w:p>
        </w:tc>
        <w:tc>
          <w:tcPr>
            <w:tcW w:w="5683" w:type="dxa"/>
            <w:tcBorders>
              <w:top w:val="single" w:color="auto" w:sz="4" w:space="0"/>
              <w:left w:val="single" w:color="auto" w:sz="4" w:space="0"/>
              <w:bottom w:val="single" w:color="auto" w:sz="4" w:space="0"/>
              <w:right w:val="single" w:color="auto" w:sz="4" w:space="0"/>
            </w:tcBorders>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rFonts w:ascii="仿宋" w:hAnsi="仿宋" w:eastAsia="仿宋" w:cs="仿宋"/>
                <w:sz w:val="24"/>
                <w:highlight w:val="none"/>
              </w:rPr>
            </w:pPr>
            <w:r>
              <w:rPr>
                <w:rFonts w:hint="eastAsia" w:ascii="仿宋" w:hAnsi="仿宋" w:eastAsia="仿宋" w:cs="仿宋"/>
                <w:sz w:val="24"/>
                <w:highlight w:val="none"/>
              </w:rPr>
              <w:t>服务范围及方式</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承诺（√）</w:t>
            </w: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非承诺（X）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683"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仿宋" w:hAnsi="仿宋" w:eastAsia="仿宋" w:cs="仿宋"/>
                <w:sz w:val="24"/>
                <w:highlight w:val="none"/>
              </w:rPr>
            </w:pPr>
            <w:r>
              <w:rPr>
                <w:rFonts w:hint="eastAsia" w:ascii="仿宋" w:hAnsi="仿宋" w:eastAsia="仿宋" w:cs="仿宋"/>
                <w:sz w:val="24"/>
                <w:highlight w:val="none"/>
              </w:rPr>
              <w:t>投标人按照与招标人签署的法律顾问合同约定提供相关法律服务。</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683"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仿宋" w:hAnsi="仿宋" w:eastAsia="仿宋" w:cs="仿宋"/>
                <w:sz w:val="24"/>
                <w:highlight w:val="none"/>
              </w:rPr>
            </w:pPr>
            <w:r>
              <w:rPr>
                <w:rFonts w:hint="eastAsia" w:ascii="仿宋" w:hAnsi="仿宋" w:eastAsia="仿宋" w:cs="仿宋"/>
                <w:color w:val="000000"/>
                <w:sz w:val="24"/>
                <w:highlight w:val="none"/>
              </w:rPr>
              <w:t>投标人对招标人及所属权属公司的经济事项提供法律服务。</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683"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仿宋" w:hAnsi="仿宋" w:eastAsia="仿宋" w:cs="仿宋"/>
                <w:color w:val="000000"/>
                <w:sz w:val="24"/>
                <w:highlight w:val="none"/>
              </w:rPr>
            </w:pPr>
            <w:r>
              <w:rPr>
                <w:rFonts w:hint="eastAsia" w:ascii="仿宋" w:hAnsi="仿宋" w:eastAsia="仿宋" w:cs="仿宋"/>
                <w:color w:val="000000"/>
                <w:sz w:val="24"/>
                <w:highlight w:val="none"/>
              </w:rPr>
              <w:t>如投标人成功入选为招标人法律顾问单位后，应委派至少3-5名符合招标人要求的律师组成法律顾问团队。</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683"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仿宋" w:hAnsi="仿宋" w:eastAsia="仿宋" w:cs="仿宋"/>
                <w:color w:val="000000"/>
                <w:sz w:val="24"/>
                <w:highlight w:val="none"/>
              </w:rPr>
            </w:pPr>
            <w:r>
              <w:rPr>
                <w:rFonts w:hint="eastAsia" w:ascii="仿宋" w:hAnsi="仿宋" w:eastAsia="仿宋" w:cs="仿宋"/>
                <w:color w:val="000000"/>
                <w:sz w:val="24"/>
                <w:highlight w:val="none"/>
              </w:rPr>
              <w:t>随时根据招标人要求到招标人指定地点现场指导或通过电话、传真、电子邮件等形式协助处理有关法律事务。</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仿宋" w:hAnsi="仿宋" w:eastAsia="仿宋" w:cs="仿宋"/>
                <w:sz w:val="24"/>
                <w:highlight w:val="none"/>
              </w:rPr>
            </w:pPr>
            <w:r>
              <w:rPr>
                <w:rFonts w:hint="eastAsia" w:ascii="仿宋" w:hAnsi="仿宋" w:eastAsia="仿宋" w:cs="仿宋"/>
                <w:sz w:val="24"/>
                <w:highlight w:val="none"/>
              </w:rPr>
              <w:t>其他服务范围及方式承诺</w:t>
            </w:r>
          </w:p>
        </w:tc>
        <w:tc>
          <w:tcPr>
            <w:tcW w:w="8100" w:type="dxa"/>
            <w:gridSpan w:val="3"/>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60" w:type="dxa"/>
            <w:gridSpan w:val="4"/>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b/>
                <w:sz w:val="24"/>
                <w:highlight w:val="none"/>
              </w:rPr>
              <w:t>投标人法律服务内容承诺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ind w:firstLine="120" w:firstLineChars="50"/>
              <w:rPr>
                <w:rFonts w:ascii="仿宋" w:hAnsi="仿宋" w:eastAsia="仿宋" w:cs="仿宋"/>
                <w:sz w:val="24"/>
                <w:highlight w:val="none"/>
              </w:rPr>
            </w:pPr>
            <w:r>
              <w:rPr>
                <w:rFonts w:hint="eastAsia" w:ascii="仿宋" w:hAnsi="仿宋" w:eastAsia="仿宋" w:cs="仿宋"/>
                <w:sz w:val="24"/>
                <w:highlight w:val="none"/>
              </w:rPr>
              <w:t>序号</w:t>
            </w:r>
          </w:p>
        </w:tc>
        <w:tc>
          <w:tcPr>
            <w:tcW w:w="5683" w:type="dxa"/>
            <w:tcBorders>
              <w:top w:val="single" w:color="auto" w:sz="4" w:space="0"/>
              <w:left w:val="single" w:color="auto" w:sz="4" w:space="0"/>
              <w:bottom w:val="single" w:color="auto" w:sz="4" w:space="0"/>
              <w:right w:val="single" w:color="auto" w:sz="4" w:space="0"/>
            </w:tcBorders>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firstLine="120" w:firstLineChars="50"/>
              <w:jc w:val="center"/>
              <w:rPr>
                <w:rFonts w:ascii="仿宋" w:hAnsi="仿宋" w:eastAsia="仿宋" w:cs="仿宋"/>
                <w:sz w:val="24"/>
                <w:highlight w:val="none"/>
              </w:rPr>
            </w:pPr>
            <w:r>
              <w:rPr>
                <w:rFonts w:hint="eastAsia" w:ascii="仿宋" w:hAnsi="仿宋" w:eastAsia="仿宋" w:cs="仿宋"/>
                <w:sz w:val="24"/>
                <w:highlight w:val="none"/>
              </w:rPr>
              <w:t>服务内容</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r>
              <w:rPr>
                <w:rFonts w:hint="eastAsia" w:ascii="仿宋" w:hAnsi="仿宋" w:eastAsia="仿宋" w:cs="仿宋"/>
                <w:sz w:val="24"/>
                <w:highlight w:val="none"/>
              </w:rPr>
              <w:t>承诺（√）</w:t>
            </w: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r>
              <w:rPr>
                <w:rFonts w:hint="eastAsia" w:ascii="仿宋" w:hAnsi="仿宋" w:eastAsia="仿宋" w:cs="仿宋"/>
                <w:sz w:val="24"/>
                <w:highlight w:val="none"/>
              </w:rPr>
              <w:t>非承诺（X）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1</w:t>
            </w:r>
          </w:p>
        </w:tc>
        <w:tc>
          <w:tcPr>
            <w:tcW w:w="5683"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仿宋" w:hAnsi="仿宋" w:eastAsia="仿宋" w:cs="仿宋"/>
                <w:sz w:val="24"/>
                <w:highlight w:val="none"/>
              </w:rPr>
            </w:pPr>
            <w:r>
              <w:rPr>
                <w:rFonts w:hint="eastAsia" w:ascii="仿宋" w:hAnsi="仿宋" w:eastAsia="仿宋" w:cs="仿宋"/>
                <w:sz w:val="24"/>
                <w:highlight w:val="none"/>
              </w:rPr>
              <w:t>依据国家法律、法规和政策，对招标人重大经营决策提出法律意见，必要时，对重大事项出具《法律意见书》</w:t>
            </w:r>
            <w:r>
              <w:rPr>
                <w:rFonts w:hint="eastAsia" w:ascii="仿宋" w:hAnsi="仿宋" w:eastAsia="仿宋" w:cs="仿宋"/>
                <w:color w:val="000000"/>
                <w:sz w:val="24"/>
                <w:highlight w:val="none"/>
              </w:rPr>
              <w:t>。</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2</w:t>
            </w:r>
          </w:p>
        </w:tc>
        <w:tc>
          <w:tcPr>
            <w:tcW w:w="5683"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仿宋" w:hAnsi="仿宋" w:eastAsia="仿宋" w:cs="仿宋"/>
                <w:sz w:val="24"/>
                <w:highlight w:val="none"/>
              </w:rPr>
            </w:pPr>
            <w:r>
              <w:rPr>
                <w:rFonts w:hint="eastAsia" w:ascii="仿宋" w:hAnsi="仿宋" w:eastAsia="仿宋" w:cs="仿宋"/>
                <w:sz w:val="24"/>
                <w:highlight w:val="none"/>
              </w:rPr>
              <w:t>参与起草、审核招标人规章制度，协助招标人建立健全科学、规范的规章制度和法律风险防范机制</w:t>
            </w:r>
            <w:r>
              <w:rPr>
                <w:rFonts w:hint="eastAsia" w:ascii="仿宋" w:hAnsi="仿宋" w:eastAsia="仿宋" w:cs="仿宋"/>
                <w:color w:val="000000"/>
                <w:sz w:val="24"/>
                <w:highlight w:val="none"/>
              </w:rPr>
              <w:t>，出具《法律意见书》。</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3</w:t>
            </w:r>
          </w:p>
        </w:tc>
        <w:tc>
          <w:tcPr>
            <w:tcW w:w="5683"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仿宋" w:hAnsi="仿宋" w:eastAsia="仿宋" w:cs="仿宋"/>
                <w:sz w:val="24"/>
                <w:highlight w:val="none"/>
              </w:rPr>
            </w:pPr>
            <w:r>
              <w:rPr>
                <w:rFonts w:hint="eastAsia" w:ascii="仿宋" w:hAnsi="仿宋" w:eastAsia="仿宋" w:cs="仿宋"/>
                <w:sz w:val="24"/>
                <w:highlight w:val="none"/>
              </w:rPr>
              <w:t>审核招标人合同，参加重大合同的谈判和起草工作，必要时参与合同的签订及履约全过程，出具《法律意见书》。</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4</w:t>
            </w:r>
          </w:p>
        </w:tc>
        <w:tc>
          <w:tcPr>
            <w:tcW w:w="5683"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仿宋" w:hAnsi="仿宋" w:eastAsia="仿宋" w:cs="仿宋"/>
                <w:sz w:val="24"/>
                <w:highlight w:val="none"/>
              </w:rPr>
            </w:pPr>
            <w:r>
              <w:rPr>
                <w:rFonts w:hint="eastAsia" w:ascii="仿宋" w:hAnsi="仿宋" w:eastAsia="仿宋" w:cs="仿宋"/>
                <w:sz w:val="24"/>
                <w:highlight w:val="none"/>
              </w:rPr>
              <w:t>审核招标人合同以外的其他法律文书，必要时对文书内容的合法性等出具书面专业法律意见。</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5</w:t>
            </w:r>
          </w:p>
        </w:tc>
        <w:tc>
          <w:tcPr>
            <w:tcW w:w="5683"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仿宋" w:hAnsi="仿宋" w:eastAsia="仿宋" w:cs="仿宋"/>
                <w:sz w:val="24"/>
                <w:highlight w:val="none"/>
              </w:rPr>
            </w:pPr>
            <w:r>
              <w:rPr>
                <w:rFonts w:hint="eastAsia" w:ascii="仿宋" w:hAnsi="仿宋" w:eastAsia="仿宋" w:cs="仿宋"/>
                <w:sz w:val="24"/>
                <w:highlight w:val="none"/>
              </w:rPr>
              <w:t>参与招标人的分立、合并、破产、解散、投融资、担保、租赁、产权转让、招投标及改制、重组、公司上市等重大经济活动，提供法律、政策咨询，处理有关法律事务；按招标人需要对相关对象进行尽职调查，并出具尽职调查报告。</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6</w:t>
            </w:r>
          </w:p>
        </w:tc>
        <w:tc>
          <w:tcPr>
            <w:tcW w:w="5683"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仿宋" w:hAnsi="仿宋" w:eastAsia="仿宋" w:cs="仿宋"/>
                <w:sz w:val="24"/>
                <w:highlight w:val="none"/>
              </w:rPr>
            </w:pPr>
            <w:r>
              <w:rPr>
                <w:rFonts w:hint="eastAsia" w:ascii="仿宋" w:hAnsi="仿宋" w:eastAsia="仿宋" w:cs="仿宋"/>
                <w:sz w:val="24"/>
                <w:highlight w:val="none"/>
              </w:rPr>
              <w:t>配合招标人法务工作管理部门对职工进行法治宣传教育，协助培训招标人的法律事务管理人员。</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7</w:t>
            </w:r>
          </w:p>
        </w:tc>
        <w:tc>
          <w:tcPr>
            <w:tcW w:w="5683"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仿宋" w:hAnsi="仿宋" w:eastAsia="仿宋" w:cs="仿宋"/>
                <w:sz w:val="24"/>
                <w:highlight w:val="none"/>
              </w:rPr>
            </w:pPr>
            <w:r>
              <w:rPr>
                <w:rFonts w:hint="eastAsia" w:ascii="仿宋" w:hAnsi="仿宋" w:eastAsia="仿宋" w:cs="仿宋"/>
                <w:sz w:val="24"/>
                <w:highlight w:val="none"/>
              </w:rPr>
              <w:t>提供与招标人生产经营有关的法律咨询；为招标人审查、修改、完善法律性文件，如声明、指示、决定、承诺函等。</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8</w:t>
            </w:r>
          </w:p>
        </w:tc>
        <w:tc>
          <w:tcPr>
            <w:tcW w:w="5683"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仿宋" w:hAnsi="仿宋" w:eastAsia="仿宋" w:cs="仿宋"/>
                <w:color w:val="000000"/>
                <w:sz w:val="24"/>
                <w:highlight w:val="none"/>
              </w:rPr>
            </w:pPr>
            <w:r>
              <w:rPr>
                <w:rFonts w:hint="eastAsia" w:ascii="仿宋" w:hAnsi="仿宋" w:eastAsia="仿宋" w:cs="仿宋"/>
                <w:sz w:val="24"/>
                <w:highlight w:val="none"/>
              </w:rPr>
              <w:t>按招标人需要出席总经理办公会、董事会及股东会，对会议事项涉及的法律问题出具书面专业法律意见</w:t>
            </w:r>
            <w:r>
              <w:rPr>
                <w:rFonts w:hint="eastAsia" w:ascii="仿宋" w:hAnsi="仿宋" w:eastAsia="仿宋" w:cs="仿宋"/>
                <w:color w:val="000000"/>
                <w:sz w:val="24"/>
                <w:highlight w:val="none"/>
              </w:rPr>
              <w:t>。</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9</w:t>
            </w:r>
          </w:p>
        </w:tc>
        <w:tc>
          <w:tcPr>
            <w:tcW w:w="5683" w:type="dxa"/>
            <w:tcBorders>
              <w:top w:val="single" w:color="auto" w:sz="4" w:space="0"/>
              <w:left w:val="single" w:color="auto" w:sz="4" w:space="0"/>
              <w:bottom w:val="single" w:color="auto" w:sz="4" w:space="0"/>
              <w:right w:val="single" w:color="auto" w:sz="4" w:space="0"/>
            </w:tcBorders>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left"/>
              <w:rPr>
                <w:rFonts w:ascii="仿宋" w:hAnsi="仿宋" w:eastAsia="仿宋" w:cs="仿宋"/>
                <w:color w:val="000000"/>
                <w:sz w:val="24"/>
                <w:highlight w:val="none"/>
              </w:rPr>
            </w:pPr>
            <w:r>
              <w:rPr>
                <w:rFonts w:hint="eastAsia" w:ascii="仿宋" w:hAnsi="仿宋" w:eastAsia="仿宋" w:cs="仿宋"/>
                <w:sz w:val="24"/>
                <w:highlight w:val="none"/>
              </w:rPr>
              <w:t>参加招标人的法律纠纷案件的研究并提出意见和建议</w:t>
            </w:r>
            <w:r>
              <w:rPr>
                <w:rFonts w:hint="eastAsia" w:ascii="仿宋" w:hAnsi="仿宋" w:eastAsia="仿宋" w:cs="仿宋"/>
                <w:color w:val="000000"/>
                <w:sz w:val="24"/>
                <w:highlight w:val="none"/>
              </w:rPr>
              <w:t>。</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5683" w:type="dxa"/>
            <w:tcBorders>
              <w:top w:val="single" w:color="auto" w:sz="4" w:space="0"/>
              <w:left w:val="single" w:color="auto" w:sz="4" w:space="0"/>
              <w:bottom w:val="single" w:color="auto" w:sz="4" w:space="0"/>
              <w:right w:val="single" w:color="auto" w:sz="4" w:space="0"/>
            </w:tcBorders>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left"/>
              <w:rPr>
                <w:rFonts w:ascii="仿宋" w:hAnsi="仿宋" w:eastAsia="仿宋" w:cs="仿宋"/>
                <w:sz w:val="24"/>
                <w:highlight w:val="none"/>
              </w:rPr>
            </w:pPr>
            <w:r>
              <w:rPr>
                <w:rFonts w:hint="eastAsia" w:ascii="仿宋" w:hAnsi="仿宋" w:eastAsia="仿宋" w:cs="仿宋"/>
                <w:sz w:val="24"/>
                <w:highlight w:val="none"/>
              </w:rPr>
              <w:t>每年在招标人开展不少于四次法律专题培训；</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5683" w:type="dxa"/>
            <w:tcBorders>
              <w:top w:val="single" w:color="auto" w:sz="4" w:space="0"/>
              <w:left w:val="single" w:color="auto" w:sz="4" w:space="0"/>
              <w:bottom w:val="single" w:color="auto" w:sz="4" w:space="0"/>
              <w:right w:val="single" w:color="auto" w:sz="4" w:space="0"/>
            </w:tcBorders>
            <w:vAlign w:val="center"/>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left"/>
              <w:rPr>
                <w:rFonts w:ascii="仿宋" w:hAnsi="仿宋" w:eastAsia="仿宋" w:cs="仿宋"/>
                <w:color w:val="000000"/>
                <w:sz w:val="24"/>
                <w:highlight w:val="none"/>
              </w:rPr>
            </w:pPr>
            <w:r>
              <w:rPr>
                <w:rFonts w:hint="eastAsia" w:ascii="仿宋" w:hAnsi="仿宋" w:eastAsia="仿宋" w:cs="仿宋"/>
                <w:sz w:val="24"/>
                <w:highlight w:val="none"/>
              </w:rPr>
              <w:t>办理招标人交办的其他法律事务</w:t>
            </w:r>
            <w:r>
              <w:rPr>
                <w:rFonts w:hint="eastAsia" w:ascii="仿宋" w:hAnsi="仿宋" w:eastAsia="仿宋" w:cs="仿宋"/>
                <w:color w:val="000000"/>
                <w:sz w:val="24"/>
                <w:highlight w:val="none"/>
              </w:rPr>
              <w:t>。</w:t>
            </w:r>
          </w:p>
        </w:tc>
        <w:tc>
          <w:tcPr>
            <w:tcW w:w="1136"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c>
          <w:tcPr>
            <w:tcW w:w="1281"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960" w:type="dxa"/>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仿宋" w:hAnsi="仿宋" w:eastAsia="仿宋" w:cs="仿宋"/>
                <w:sz w:val="24"/>
                <w:highlight w:val="none"/>
              </w:rPr>
            </w:pPr>
            <w:r>
              <w:rPr>
                <w:rFonts w:hint="eastAsia" w:ascii="仿宋" w:hAnsi="仿宋" w:eastAsia="仿宋" w:cs="仿宋"/>
                <w:sz w:val="24"/>
                <w:highlight w:val="none"/>
              </w:rPr>
              <w:t>其他法律服务内容承诺</w:t>
            </w:r>
          </w:p>
        </w:tc>
        <w:tc>
          <w:tcPr>
            <w:tcW w:w="8100" w:type="dxa"/>
            <w:gridSpan w:val="3"/>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60" w:type="dxa"/>
            <w:gridSpan w:val="4"/>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jc w:val="center"/>
              <w:rPr>
                <w:rFonts w:ascii="仿宋" w:hAnsi="仿宋" w:eastAsia="仿宋" w:cs="仿宋"/>
                <w:b/>
                <w:sz w:val="24"/>
                <w:highlight w:val="none"/>
              </w:rPr>
            </w:pPr>
            <w:r>
              <w:rPr>
                <w:rFonts w:hint="eastAsia" w:ascii="仿宋" w:hAnsi="仿宋" w:eastAsia="仿宋" w:cs="仿宋"/>
                <w:b/>
                <w:sz w:val="24"/>
                <w:highlight w:val="none"/>
              </w:rPr>
              <w:t>其他法律服务介绍及特别说明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60" w:type="dxa"/>
            <w:gridSpan w:val="4"/>
            <w:tcBorders>
              <w:top w:val="single" w:color="auto" w:sz="4" w:space="0"/>
              <w:left w:val="single" w:color="auto" w:sz="4" w:space="0"/>
              <w:bottom w:val="single" w:color="auto" w:sz="4" w:space="0"/>
              <w:right w:val="single" w:color="auto" w:sz="4" w:space="0"/>
            </w:tcBorders>
          </w:tcPr>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500" w:lineRule="exact"/>
              <w:rPr>
                <w:rFonts w:ascii="仿宋" w:hAnsi="仿宋" w:eastAsia="仿宋" w:cs="仿宋"/>
                <w:sz w:val="24"/>
                <w:highlight w:val="none"/>
              </w:rPr>
            </w:pPr>
          </w:p>
        </w:tc>
      </w:tr>
    </w:tbl>
    <w:p>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仿宋" w:hAnsi="仿宋" w:eastAsia="仿宋" w:cs="仿宋"/>
          <w:sz w:val="32"/>
          <w:highlight w:val="none"/>
        </w:rPr>
      </w:pPr>
      <w:r>
        <w:rPr>
          <w:rFonts w:hint="eastAsia" w:ascii="仿宋" w:hAnsi="仿宋" w:eastAsia="仿宋" w:cs="仿宋"/>
          <w:sz w:val="32"/>
          <w:highlight w:val="none"/>
        </w:rPr>
        <w:t>投标人：（盖章）</w:t>
      </w:r>
    </w:p>
    <w:p>
      <w:pPr>
        <w:widowControl/>
        <w:tabs>
          <w:tab w:val="left" w:pos="360"/>
          <w:tab w:val="left" w:pos="420"/>
          <w:tab w:val="left" w:pos="840"/>
          <w:tab w:val="left" w:pos="1134"/>
          <w:tab w:val="left" w:pos="1260"/>
          <w:tab w:val="left" w:pos="1680"/>
          <w:tab w:val="left" w:pos="2100"/>
          <w:tab w:val="left" w:pos="2268"/>
          <w:tab w:val="left" w:pos="2520"/>
          <w:tab w:val="left" w:pos="2940"/>
          <w:tab w:val="left" w:pos="3360"/>
          <w:tab w:val="left" w:pos="3402"/>
          <w:tab w:val="left" w:pos="3780"/>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jc w:val="left"/>
        <w:rPr>
          <w:rFonts w:ascii="仿宋" w:hAnsi="仿宋" w:eastAsia="仿宋" w:cs="仿宋"/>
          <w:b/>
          <w:kern w:val="0"/>
          <w:position w:val="6"/>
          <w:sz w:val="24"/>
          <w:highlight w:val="none"/>
          <w:lang w:bidi="zh-CN"/>
        </w:rPr>
      </w:pPr>
      <w:r>
        <w:rPr>
          <w:rFonts w:hint="eastAsia" w:ascii="仿宋" w:hAnsi="仿宋" w:eastAsia="仿宋" w:cs="仿宋"/>
          <w:kern w:val="0"/>
          <w:position w:val="6"/>
          <w:sz w:val="32"/>
          <w:highlight w:val="none"/>
          <w:lang w:val="zh-CN" w:bidi="zh-CN"/>
        </w:rPr>
        <w:t>投标人单位负责人（签字或盖章）：</w:t>
      </w:r>
    </w:p>
    <w:p>
      <w:pPr>
        <w:widowControl/>
        <w:tabs>
          <w:tab w:val="left" w:pos="360"/>
          <w:tab w:val="left" w:pos="420"/>
          <w:tab w:val="left" w:pos="540"/>
          <w:tab w:val="left" w:pos="840"/>
          <w:tab w:val="left" w:pos="1134"/>
          <w:tab w:val="left" w:pos="1260"/>
          <w:tab w:val="left" w:pos="1680"/>
          <w:tab w:val="left" w:pos="2100"/>
          <w:tab w:val="left" w:pos="2268"/>
          <w:tab w:val="left" w:pos="2520"/>
          <w:tab w:val="left" w:pos="2940"/>
          <w:tab w:val="left" w:pos="3360"/>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480" w:lineRule="auto"/>
        <w:ind w:firstLine="5520" w:firstLineChars="2300"/>
        <w:jc w:val="left"/>
        <w:rPr>
          <w:rFonts w:ascii="仿宋" w:hAnsi="仿宋" w:eastAsia="仿宋" w:cs="仿宋"/>
          <w:kern w:val="0"/>
          <w:position w:val="6"/>
          <w:sz w:val="24"/>
          <w:highlight w:val="none"/>
          <w:lang w:bidi="zh-CN"/>
        </w:rPr>
      </w:pPr>
      <w:r>
        <w:rPr>
          <w:rFonts w:hint="eastAsia" w:ascii="仿宋" w:hAnsi="仿宋" w:eastAsia="仿宋" w:cs="仿宋"/>
          <w:kern w:val="0"/>
          <w:position w:val="6"/>
          <w:sz w:val="24"/>
          <w:highlight w:val="none"/>
          <w:lang w:bidi="zh-CN"/>
        </w:rPr>
        <w:t>年     月     日</w:t>
      </w:r>
    </w:p>
    <w:p>
      <w:pPr>
        <w:tabs>
          <w:tab w:val="left" w:pos="420"/>
        </w:tabs>
        <w:spacing w:line="460" w:lineRule="exact"/>
        <w:outlineLvl w:val="2"/>
        <w:rPr>
          <w:rFonts w:ascii="仿宋" w:hAnsi="仿宋" w:eastAsia="仿宋" w:cs="仿宋"/>
          <w:color w:val="000000"/>
          <w:sz w:val="32"/>
          <w:highlight w:val="none"/>
        </w:rPr>
      </w:pPr>
    </w:p>
    <w:p>
      <w:pPr>
        <w:tabs>
          <w:tab w:val="left" w:pos="420"/>
        </w:tabs>
        <w:spacing w:line="460" w:lineRule="exact"/>
        <w:outlineLvl w:val="2"/>
        <w:rPr>
          <w:rFonts w:ascii="仿宋" w:hAnsi="仿宋" w:eastAsia="仿宋" w:cs="仿宋"/>
          <w:color w:val="000000"/>
          <w:sz w:val="32"/>
          <w:highlight w:val="none"/>
        </w:rPr>
      </w:pPr>
      <w:r>
        <w:rPr>
          <w:rFonts w:hint="eastAsia" w:ascii="仿宋" w:hAnsi="仿宋" w:eastAsia="仿宋" w:cs="仿宋"/>
          <w:color w:val="000000"/>
          <w:sz w:val="32"/>
          <w:highlight w:val="none"/>
        </w:rPr>
        <w:t>注：法定代表人必须在报价函上亲笔签名，不得使用印章、签名章或其它电子制版签名；</w:t>
      </w:r>
    </w:p>
    <w:p>
      <w:pPr>
        <w:pStyle w:val="17"/>
        <w:rPr>
          <w:highlight w:val="none"/>
        </w:rPr>
      </w:pPr>
    </w:p>
    <w:p>
      <w:pPr>
        <w:outlineLvl w:val="0"/>
        <w:rPr>
          <w:rFonts w:ascii="仿宋" w:hAnsi="仿宋" w:eastAsia="仿宋" w:cs="等线"/>
          <w:sz w:val="30"/>
          <w:szCs w:val="30"/>
          <w:highlight w:val="none"/>
        </w:rPr>
        <w:sectPr>
          <w:pgSz w:w="11906" w:h="16838"/>
          <w:pgMar w:top="993" w:right="1274" w:bottom="1440" w:left="1800" w:header="851" w:footer="992" w:gutter="0"/>
          <w:cols w:space="720" w:num="1"/>
          <w:docGrid w:type="lines" w:linePitch="312" w:charSpace="0"/>
        </w:sectPr>
      </w:pPr>
      <w:bookmarkStart w:id="107" w:name="_Toc563"/>
    </w:p>
    <w:bookmarkEnd w:id="107"/>
    <w:p>
      <w:pPr>
        <w:widowControl/>
        <w:tabs>
          <w:tab w:val="left" w:pos="360"/>
          <w:tab w:val="left" w:pos="420"/>
          <w:tab w:val="left" w:pos="540"/>
          <w:tab w:val="left" w:pos="840"/>
          <w:tab w:val="left" w:pos="1134"/>
          <w:tab w:val="left" w:pos="1260"/>
          <w:tab w:val="left" w:pos="1680"/>
          <w:tab w:val="left" w:pos="2100"/>
          <w:tab w:val="left" w:pos="2268"/>
          <w:tab w:val="left" w:pos="2520"/>
          <w:tab w:val="left" w:pos="2940"/>
          <w:tab w:val="left" w:pos="3360"/>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480" w:lineRule="auto"/>
        <w:ind w:left="539"/>
        <w:jc w:val="center"/>
        <w:rPr>
          <w:rFonts w:ascii="仿宋" w:hAnsi="仿宋" w:eastAsia="仿宋" w:cs="仿宋"/>
          <w:kern w:val="0"/>
          <w:position w:val="6"/>
          <w:sz w:val="24"/>
          <w:highlight w:val="none"/>
          <w:lang w:val="zh-CN" w:bidi="zh-CN"/>
        </w:rPr>
      </w:pPr>
      <w:r>
        <w:rPr>
          <w:rFonts w:hint="eastAsia" w:ascii="仿宋" w:hAnsi="仿宋" w:eastAsia="仿宋" w:cs="仿宋"/>
          <w:b/>
          <w:kern w:val="0"/>
          <w:position w:val="6"/>
          <w:sz w:val="32"/>
          <w:highlight w:val="none"/>
          <w:lang w:bidi="zh-CN"/>
        </w:rPr>
        <w:t>附件8：</w:t>
      </w:r>
      <w:r>
        <w:rPr>
          <w:rFonts w:hint="eastAsia" w:ascii="仿宋" w:hAnsi="仿宋" w:eastAsia="仿宋" w:cs="仿宋"/>
          <w:b/>
          <w:kern w:val="0"/>
          <w:position w:val="6"/>
          <w:sz w:val="32"/>
          <w:highlight w:val="none"/>
          <w:lang w:val="zh-CN" w:bidi="zh-CN"/>
        </w:rPr>
        <w:t>投标承诺函</w:t>
      </w:r>
    </w:p>
    <w:p>
      <w:pPr>
        <w:widowControl/>
        <w:tabs>
          <w:tab w:val="left" w:pos="360"/>
          <w:tab w:val="left" w:pos="420"/>
          <w:tab w:val="left" w:pos="540"/>
          <w:tab w:val="left" w:pos="840"/>
          <w:tab w:val="left" w:pos="1134"/>
          <w:tab w:val="left" w:pos="1260"/>
          <w:tab w:val="left" w:pos="1680"/>
          <w:tab w:val="left" w:pos="2100"/>
          <w:tab w:val="left" w:pos="2268"/>
          <w:tab w:val="left" w:pos="2520"/>
          <w:tab w:val="left" w:pos="2940"/>
          <w:tab w:val="left" w:pos="3360"/>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600" w:lineRule="exact"/>
        <w:jc w:val="left"/>
        <w:rPr>
          <w:rFonts w:ascii="仿宋" w:hAnsi="仿宋" w:eastAsia="仿宋" w:cs="仿宋"/>
          <w:kern w:val="0"/>
          <w:position w:val="6"/>
          <w:sz w:val="32"/>
          <w:szCs w:val="28"/>
          <w:highlight w:val="none"/>
          <w:lang w:val="zh-CN" w:bidi="zh-CN"/>
        </w:rPr>
      </w:pPr>
      <w:r>
        <w:rPr>
          <w:rFonts w:hint="eastAsia" w:ascii="仿宋" w:hAnsi="仿宋" w:eastAsia="仿宋" w:cs="仿宋"/>
          <w:kern w:val="0"/>
          <w:sz w:val="32"/>
          <w:szCs w:val="28"/>
          <w:highlight w:val="none"/>
          <w:u w:val="single"/>
          <w:lang w:val="zh-CN" w:bidi="zh-CN"/>
        </w:rPr>
        <w:t>武汉生态环境设计研究院有限公司</w:t>
      </w:r>
      <w:r>
        <w:rPr>
          <w:rFonts w:hint="eastAsia" w:ascii="仿宋" w:hAnsi="仿宋" w:eastAsia="仿宋" w:cs="仿宋"/>
          <w:kern w:val="0"/>
          <w:sz w:val="32"/>
          <w:szCs w:val="28"/>
          <w:highlight w:val="none"/>
          <w:lang w:val="zh-CN" w:bidi="zh-CN"/>
        </w:rPr>
        <w:t>：</w:t>
      </w:r>
    </w:p>
    <w:p>
      <w:pPr>
        <w:widowControl/>
        <w:tabs>
          <w:tab w:val="left" w:pos="0"/>
          <w:tab w:val="left" w:pos="840"/>
          <w:tab w:val="left" w:pos="1134"/>
          <w:tab w:val="left" w:pos="1260"/>
          <w:tab w:val="left" w:pos="1680"/>
          <w:tab w:val="left" w:pos="2268"/>
          <w:tab w:val="left" w:pos="2520"/>
          <w:tab w:val="left" w:pos="2940"/>
          <w:tab w:val="left" w:pos="3360"/>
          <w:tab w:val="left" w:pos="3402"/>
          <w:tab w:val="left" w:pos="3780"/>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600" w:lineRule="exact"/>
        <w:ind w:firstLine="640" w:firstLineChars="200"/>
        <w:jc w:val="left"/>
        <w:rPr>
          <w:rFonts w:ascii="仿宋" w:hAnsi="仿宋" w:eastAsia="仿宋" w:cs="仿宋"/>
          <w:kern w:val="0"/>
          <w:position w:val="6"/>
          <w:sz w:val="32"/>
          <w:szCs w:val="28"/>
          <w:highlight w:val="none"/>
          <w:lang w:val="zh-CN" w:bidi="zh-CN"/>
        </w:rPr>
      </w:pPr>
      <w:r>
        <w:rPr>
          <w:rFonts w:hint="eastAsia" w:ascii="仿宋" w:hAnsi="仿宋" w:eastAsia="仿宋" w:cs="仿宋"/>
          <w:kern w:val="0"/>
          <w:position w:val="6"/>
          <w:sz w:val="32"/>
          <w:szCs w:val="28"/>
          <w:highlight w:val="none"/>
          <w:lang w:val="zh-CN" w:bidi="zh-CN"/>
        </w:rPr>
        <w:t>1、我所已详细阅读《公告》及相关说明。</w:t>
      </w:r>
    </w:p>
    <w:p>
      <w:pPr>
        <w:widowControl/>
        <w:tabs>
          <w:tab w:val="left" w:pos="0"/>
          <w:tab w:val="left" w:pos="840"/>
          <w:tab w:val="left" w:pos="1134"/>
          <w:tab w:val="left" w:pos="1260"/>
          <w:tab w:val="left" w:pos="1680"/>
          <w:tab w:val="left" w:pos="2268"/>
          <w:tab w:val="left" w:pos="2520"/>
          <w:tab w:val="left" w:pos="2940"/>
          <w:tab w:val="left" w:pos="3360"/>
          <w:tab w:val="left" w:pos="3402"/>
          <w:tab w:val="left" w:pos="3780"/>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600" w:lineRule="exact"/>
        <w:ind w:firstLine="640" w:firstLineChars="200"/>
        <w:jc w:val="left"/>
        <w:rPr>
          <w:rFonts w:ascii="仿宋" w:hAnsi="仿宋" w:eastAsia="仿宋" w:cs="仿宋"/>
          <w:kern w:val="0"/>
          <w:position w:val="6"/>
          <w:sz w:val="32"/>
          <w:szCs w:val="28"/>
          <w:highlight w:val="none"/>
          <w:lang w:val="zh-CN" w:bidi="zh-CN"/>
        </w:rPr>
      </w:pPr>
      <w:r>
        <w:rPr>
          <w:rFonts w:hint="eastAsia" w:ascii="仿宋" w:hAnsi="仿宋" w:eastAsia="仿宋" w:cs="仿宋"/>
          <w:kern w:val="0"/>
          <w:position w:val="6"/>
          <w:sz w:val="32"/>
          <w:szCs w:val="28"/>
          <w:highlight w:val="none"/>
          <w:lang w:val="zh-CN" w:bidi="zh-CN"/>
        </w:rPr>
        <w:t>2、我所承诺所递交的投标文件真实有效，如有不实之处，由我所承担相应的责任，贵公司有权按无效投标处理。</w:t>
      </w:r>
    </w:p>
    <w:p>
      <w:pPr>
        <w:widowControl/>
        <w:tabs>
          <w:tab w:val="left" w:pos="0"/>
          <w:tab w:val="left" w:pos="840"/>
          <w:tab w:val="left" w:pos="1134"/>
          <w:tab w:val="left" w:pos="1260"/>
          <w:tab w:val="left" w:pos="1680"/>
          <w:tab w:val="left" w:pos="2268"/>
          <w:tab w:val="left" w:pos="2520"/>
          <w:tab w:val="left" w:pos="2940"/>
          <w:tab w:val="left" w:pos="3360"/>
          <w:tab w:val="left" w:pos="3402"/>
          <w:tab w:val="left" w:pos="3780"/>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600" w:lineRule="exact"/>
        <w:ind w:firstLine="640" w:firstLineChars="200"/>
        <w:jc w:val="left"/>
        <w:rPr>
          <w:rFonts w:ascii="仿宋" w:hAnsi="仿宋" w:eastAsia="仿宋" w:cs="仿宋"/>
          <w:kern w:val="0"/>
          <w:position w:val="6"/>
          <w:sz w:val="32"/>
          <w:szCs w:val="28"/>
          <w:highlight w:val="none"/>
          <w:lang w:val="zh-CN" w:bidi="zh-CN"/>
        </w:rPr>
      </w:pPr>
      <w:r>
        <w:rPr>
          <w:rFonts w:hint="eastAsia" w:ascii="仿宋" w:hAnsi="仿宋" w:eastAsia="仿宋" w:cs="仿宋"/>
          <w:kern w:val="0"/>
          <w:position w:val="6"/>
          <w:sz w:val="32"/>
          <w:szCs w:val="28"/>
          <w:highlight w:val="none"/>
          <w:lang w:val="zh-CN" w:bidi="zh-CN"/>
        </w:rPr>
        <w:t>3.如我所中标，我方承诺按照选聘文件内容和要求完成法律顾问相关服务工作。如果我所及指派往贵公司从事服务的顾问律师的情况与专业水平与投标文件要求所述不符，或我所及指派往贵公司从事服务的顾问律师的实际从业能力无法达到贵公司要求，或因我所及指派往贵公司从事服务的顾问律师的过错给贵公司带来损失的，或不能按本投标文件的要求提供服务的，贵公司有权解聘并要求赔偿，且贵公司不承担任何费用并有权追回已支付的所有费用。</w:t>
      </w:r>
    </w:p>
    <w:p>
      <w:pPr>
        <w:widowControl/>
        <w:tabs>
          <w:tab w:val="left" w:pos="360"/>
          <w:tab w:val="left" w:pos="420"/>
          <w:tab w:val="left" w:pos="540"/>
          <w:tab w:val="left" w:pos="840"/>
          <w:tab w:val="left" w:pos="1134"/>
          <w:tab w:val="left" w:pos="1260"/>
          <w:tab w:val="left" w:pos="1680"/>
          <w:tab w:val="left" w:pos="2100"/>
          <w:tab w:val="left" w:pos="2268"/>
          <w:tab w:val="left" w:pos="2520"/>
          <w:tab w:val="left" w:pos="2940"/>
          <w:tab w:val="left" w:pos="3360"/>
          <w:tab w:val="left" w:pos="3402"/>
          <w:tab w:val="left" w:pos="3780"/>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600" w:lineRule="exact"/>
        <w:jc w:val="left"/>
        <w:rPr>
          <w:rFonts w:ascii="仿宋" w:hAnsi="仿宋" w:eastAsia="仿宋" w:cs="仿宋"/>
          <w:kern w:val="0"/>
          <w:position w:val="6"/>
          <w:sz w:val="32"/>
          <w:szCs w:val="28"/>
          <w:highlight w:val="none"/>
          <w:lang w:val="zh-CN" w:bidi="zh-CN"/>
        </w:rPr>
      </w:pPr>
    </w:p>
    <w:p>
      <w:pPr>
        <w:widowControl/>
        <w:tabs>
          <w:tab w:val="left" w:pos="360"/>
          <w:tab w:val="left" w:pos="420"/>
          <w:tab w:val="left" w:pos="540"/>
          <w:tab w:val="left" w:pos="840"/>
          <w:tab w:val="left" w:pos="1134"/>
          <w:tab w:val="left" w:pos="1260"/>
          <w:tab w:val="left" w:pos="1680"/>
          <w:tab w:val="left" w:pos="2100"/>
          <w:tab w:val="left" w:pos="2268"/>
          <w:tab w:val="left" w:pos="2520"/>
          <w:tab w:val="left" w:pos="2940"/>
          <w:tab w:val="left" w:pos="3360"/>
          <w:tab w:val="left" w:pos="3402"/>
          <w:tab w:val="left" w:pos="3780"/>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640" w:lineRule="exact"/>
        <w:ind w:left="539"/>
        <w:jc w:val="left"/>
        <w:rPr>
          <w:rFonts w:ascii="仿宋" w:hAnsi="仿宋" w:eastAsia="仿宋" w:cs="仿宋"/>
          <w:kern w:val="0"/>
          <w:position w:val="6"/>
          <w:sz w:val="32"/>
          <w:szCs w:val="28"/>
          <w:highlight w:val="none"/>
          <w:lang w:val="zh-CN" w:bidi="zh-CN"/>
        </w:rPr>
      </w:pPr>
      <w:r>
        <w:rPr>
          <w:rFonts w:hint="eastAsia" w:ascii="仿宋" w:hAnsi="仿宋" w:eastAsia="仿宋" w:cs="仿宋"/>
          <w:kern w:val="0"/>
          <w:position w:val="6"/>
          <w:sz w:val="32"/>
          <w:szCs w:val="28"/>
          <w:highlight w:val="none"/>
          <w:lang w:val="zh-CN" w:bidi="zh-CN"/>
        </w:rPr>
        <w:t>承诺单位（盖章）：</w:t>
      </w:r>
    </w:p>
    <w:p>
      <w:pPr>
        <w:widowControl/>
        <w:tabs>
          <w:tab w:val="left" w:pos="360"/>
          <w:tab w:val="left" w:pos="420"/>
          <w:tab w:val="left" w:pos="540"/>
          <w:tab w:val="left" w:pos="840"/>
          <w:tab w:val="left" w:pos="1134"/>
          <w:tab w:val="left" w:pos="1260"/>
          <w:tab w:val="left" w:pos="1680"/>
          <w:tab w:val="left" w:pos="2100"/>
          <w:tab w:val="left" w:pos="2268"/>
          <w:tab w:val="left" w:pos="2520"/>
          <w:tab w:val="left" w:pos="2940"/>
          <w:tab w:val="left" w:pos="3360"/>
          <w:tab w:val="left" w:pos="3402"/>
          <w:tab w:val="left" w:pos="3780"/>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640" w:lineRule="exact"/>
        <w:ind w:left="539"/>
        <w:jc w:val="left"/>
        <w:rPr>
          <w:rFonts w:ascii="仿宋" w:hAnsi="仿宋" w:eastAsia="仿宋" w:cs="仿宋"/>
          <w:kern w:val="0"/>
          <w:position w:val="6"/>
          <w:sz w:val="32"/>
          <w:szCs w:val="28"/>
          <w:highlight w:val="none"/>
          <w:lang w:val="zh-CN" w:bidi="zh-CN"/>
        </w:rPr>
      </w:pPr>
    </w:p>
    <w:p>
      <w:pPr>
        <w:widowControl/>
        <w:tabs>
          <w:tab w:val="left" w:pos="360"/>
          <w:tab w:val="left" w:pos="420"/>
          <w:tab w:val="left" w:pos="540"/>
          <w:tab w:val="left" w:pos="840"/>
          <w:tab w:val="left" w:pos="1134"/>
          <w:tab w:val="left" w:pos="1260"/>
          <w:tab w:val="left" w:pos="1680"/>
          <w:tab w:val="left" w:pos="2100"/>
          <w:tab w:val="left" w:pos="2268"/>
          <w:tab w:val="left" w:pos="2520"/>
          <w:tab w:val="left" w:pos="2940"/>
          <w:tab w:val="left" w:pos="3360"/>
          <w:tab w:val="left" w:pos="3402"/>
          <w:tab w:val="left" w:pos="3780"/>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640" w:lineRule="exact"/>
        <w:ind w:left="539"/>
        <w:jc w:val="left"/>
        <w:rPr>
          <w:rFonts w:ascii="仿宋" w:hAnsi="仿宋" w:eastAsia="仿宋" w:cs="仿宋"/>
          <w:kern w:val="0"/>
          <w:position w:val="6"/>
          <w:sz w:val="32"/>
          <w:szCs w:val="28"/>
          <w:highlight w:val="none"/>
          <w:lang w:val="zh-CN" w:bidi="zh-CN"/>
        </w:rPr>
      </w:pPr>
      <w:r>
        <w:rPr>
          <w:rFonts w:hint="eastAsia" w:ascii="仿宋" w:hAnsi="仿宋" w:eastAsia="仿宋" w:cs="仿宋"/>
          <w:kern w:val="0"/>
          <w:position w:val="6"/>
          <w:sz w:val="32"/>
          <w:szCs w:val="28"/>
          <w:highlight w:val="none"/>
          <w:lang w:val="zh-CN" w:bidi="zh-CN"/>
        </w:rPr>
        <w:t>承诺单位负责人（签字或盖章）：</w:t>
      </w:r>
    </w:p>
    <w:p>
      <w:pPr>
        <w:widowControl/>
        <w:tabs>
          <w:tab w:val="left" w:pos="360"/>
          <w:tab w:val="left" w:pos="420"/>
          <w:tab w:val="left" w:pos="540"/>
          <w:tab w:val="left" w:pos="840"/>
          <w:tab w:val="left" w:pos="1134"/>
          <w:tab w:val="left" w:pos="1260"/>
          <w:tab w:val="left" w:pos="1680"/>
          <w:tab w:val="left" w:pos="2100"/>
          <w:tab w:val="left" w:pos="2268"/>
          <w:tab w:val="left" w:pos="2520"/>
          <w:tab w:val="left" w:pos="2940"/>
          <w:tab w:val="left" w:pos="3360"/>
          <w:tab w:val="left" w:pos="3402"/>
          <w:tab w:val="left" w:pos="3780"/>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640" w:lineRule="exact"/>
        <w:ind w:left="539"/>
        <w:jc w:val="left"/>
        <w:rPr>
          <w:rFonts w:ascii="仿宋" w:hAnsi="仿宋" w:eastAsia="仿宋" w:cs="仿宋"/>
          <w:kern w:val="0"/>
          <w:position w:val="6"/>
          <w:sz w:val="32"/>
          <w:szCs w:val="28"/>
          <w:highlight w:val="none"/>
          <w:u w:val="single"/>
          <w:lang w:val="zh-CN" w:bidi="zh-CN"/>
        </w:rPr>
      </w:pPr>
    </w:p>
    <w:p>
      <w:pPr>
        <w:rPr>
          <w:rFonts w:ascii="仿宋" w:hAnsi="仿宋" w:eastAsia="仿宋" w:cs="仿宋"/>
          <w:sz w:val="32"/>
          <w:szCs w:val="28"/>
          <w:highlight w:val="none"/>
        </w:rPr>
      </w:pPr>
      <w:r>
        <w:rPr>
          <w:rFonts w:hint="eastAsia" w:ascii="仿宋" w:hAnsi="仿宋" w:eastAsia="仿宋" w:cs="仿宋"/>
          <w:sz w:val="32"/>
          <w:szCs w:val="28"/>
          <w:highlight w:val="none"/>
        </w:rPr>
        <w:t xml:space="preserve">                                         </w:t>
      </w:r>
      <w:r>
        <w:rPr>
          <w:rFonts w:hint="eastAsia" w:ascii="仿宋" w:hAnsi="仿宋" w:eastAsia="仿宋" w:cs="仿宋"/>
          <w:kern w:val="0"/>
          <w:position w:val="6"/>
          <w:sz w:val="32"/>
          <w:szCs w:val="28"/>
          <w:highlight w:val="none"/>
          <w:lang w:bidi="zh-CN"/>
        </w:rPr>
        <w:t xml:space="preserve">年   月   日  </w:t>
      </w:r>
      <w:r>
        <w:rPr>
          <w:rFonts w:hint="eastAsia" w:ascii="仿宋" w:hAnsi="仿宋" w:eastAsia="仿宋" w:cs="仿宋"/>
          <w:sz w:val="32"/>
          <w:szCs w:val="28"/>
          <w:highlight w:val="none"/>
        </w:rPr>
        <w:t xml:space="preserve">                                    </w:t>
      </w:r>
    </w:p>
    <w:p>
      <w:pPr>
        <w:rPr>
          <w:rFonts w:ascii="仿宋" w:hAnsi="仿宋" w:eastAsia="仿宋" w:cs="仿宋"/>
          <w:sz w:val="32"/>
          <w:szCs w:val="28"/>
          <w:highlight w:val="none"/>
        </w:rPr>
      </w:pPr>
    </w:p>
    <w:p>
      <w:pPr>
        <w:tabs>
          <w:tab w:val="left" w:pos="1560"/>
        </w:tabs>
        <w:ind w:firstLine="640" w:firstLineChars="200"/>
        <w:rPr>
          <w:rFonts w:ascii="仿宋" w:hAnsi="仿宋" w:eastAsia="仿宋" w:cs="仿宋"/>
          <w:sz w:val="32"/>
          <w:highlight w:val="none"/>
        </w:rPr>
      </w:pPr>
      <w:r>
        <w:rPr>
          <w:rFonts w:hint="eastAsia" w:ascii="仿宋" w:hAnsi="仿宋" w:eastAsia="仿宋" w:cs="仿宋"/>
          <w:color w:val="000000"/>
          <w:sz w:val="32"/>
          <w:highlight w:val="none"/>
        </w:rPr>
        <w:t>注：法定代表人必须在投标承诺函上亲笔签名，不得使用印章、签名章或其它电子制版签名</w:t>
      </w:r>
    </w:p>
    <w:p>
      <w:pPr>
        <w:spacing w:line="540" w:lineRule="exact"/>
        <w:outlineLvl w:val="0"/>
        <w:rPr>
          <w:rFonts w:ascii="仿宋_GB2312" w:hAnsi="仿宋_GB2312" w:eastAsia="仿宋" w:cs="仿宋_GB2312"/>
          <w:sz w:val="28"/>
          <w:szCs w:val="28"/>
          <w:highlight w:val="none"/>
        </w:rPr>
        <w:sectPr>
          <w:pgSz w:w="11906" w:h="16838"/>
          <w:pgMar w:top="993" w:right="1274" w:bottom="1440" w:left="1800" w:header="851" w:footer="992" w:gutter="0"/>
          <w:cols w:space="720" w:num="1"/>
          <w:docGrid w:type="lines" w:linePitch="312" w:charSpace="0"/>
        </w:sectPr>
      </w:pPr>
      <w:bookmarkStart w:id="108" w:name="_Toc1458"/>
    </w:p>
    <w:bookmarkEnd w:id="108"/>
    <w:p>
      <w:pPr>
        <w:widowControl/>
        <w:autoSpaceDE w:val="0"/>
        <w:autoSpaceDN w:val="0"/>
        <w:ind w:firstLine="643" w:firstLineChars="200"/>
        <w:jc w:val="center"/>
        <w:textAlignment w:val="bottom"/>
        <w:rPr>
          <w:rFonts w:ascii="仿宋" w:hAnsi="仿宋" w:eastAsia="仿宋" w:cs="仿宋"/>
          <w:b/>
          <w:sz w:val="32"/>
          <w:szCs w:val="32"/>
          <w:highlight w:val="none"/>
        </w:rPr>
      </w:pPr>
      <w:bookmarkStart w:id="109" w:name="_Toc5587"/>
      <w:bookmarkStart w:id="110" w:name="_Toc9070"/>
      <w:r>
        <w:rPr>
          <w:rFonts w:hint="eastAsia" w:ascii="仿宋" w:hAnsi="仿宋" w:eastAsia="仿宋" w:cs="仿宋"/>
          <w:b/>
          <w:sz w:val="32"/>
          <w:szCs w:val="32"/>
          <w:highlight w:val="none"/>
        </w:rPr>
        <w:t>附件9：聘请常年法律顾问协议书</w:t>
      </w:r>
      <w:bookmarkEnd w:id="109"/>
      <w:bookmarkEnd w:id="110"/>
    </w:p>
    <w:p>
      <w:pPr>
        <w:spacing w:line="620" w:lineRule="exact"/>
        <w:rPr>
          <w:rFonts w:ascii="仿宋_GB2312" w:hAnsi="仿宋_GB2312" w:eastAsia="仿宋" w:cs="仿宋_GB2312"/>
          <w:sz w:val="36"/>
          <w:szCs w:val="36"/>
          <w:highlight w:val="none"/>
        </w:rPr>
      </w:pPr>
    </w:p>
    <w:p>
      <w:pPr>
        <w:spacing w:line="480" w:lineRule="exact"/>
        <w:rPr>
          <w:rFonts w:ascii="仿宋" w:hAnsi="仿宋" w:eastAsia="仿宋" w:cs="仿宋"/>
          <w:sz w:val="32"/>
          <w:szCs w:val="28"/>
          <w:highlight w:val="none"/>
        </w:rPr>
      </w:pPr>
      <w:r>
        <w:rPr>
          <w:rFonts w:hint="eastAsia" w:ascii="仿宋" w:hAnsi="仿宋" w:eastAsia="仿宋" w:cs="仿宋"/>
          <w:sz w:val="32"/>
          <w:szCs w:val="28"/>
          <w:highlight w:val="none"/>
        </w:rPr>
        <w:t>甲      方：</w:t>
      </w:r>
    </w:p>
    <w:p>
      <w:pPr>
        <w:spacing w:line="480" w:lineRule="exact"/>
        <w:rPr>
          <w:rFonts w:ascii="仿宋" w:hAnsi="仿宋" w:eastAsia="仿宋" w:cs="仿宋"/>
          <w:sz w:val="32"/>
          <w:szCs w:val="28"/>
          <w:highlight w:val="none"/>
        </w:rPr>
      </w:pPr>
      <w:r>
        <w:rPr>
          <w:rFonts w:hint="eastAsia" w:ascii="仿宋" w:hAnsi="仿宋" w:eastAsia="仿宋" w:cs="仿宋"/>
          <w:sz w:val="32"/>
          <w:szCs w:val="28"/>
          <w:highlight w:val="none"/>
        </w:rPr>
        <w:t>住      所：</w:t>
      </w:r>
    </w:p>
    <w:p>
      <w:pPr>
        <w:spacing w:line="480" w:lineRule="exact"/>
        <w:rPr>
          <w:rFonts w:ascii="仿宋" w:hAnsi="仿宋" w:eastAsia="仿宋" w:cs="仿宋"/>
          <w:sz w:val="32"/>
          <w:szCs w:val="28"/>
          <w:highlight w:val="none"/>
        </w:rPr>
      </w:pPr>
      <w:r>
        <w:rPr>
          <w:rFonts w:hint="eastAsia" w:ascii="仿宋" w:hAnsi="仿宋" w:eastAsia="仿宋" w:cs="仿宋"/>
          <w:sz w:val="32"/>
          <w:szCs w:val="28"/>
          <w:highlight w:val="none"/>
        </w:rPr>
        <w:t>法定代表人：</w:t>
      </w:r>
    </w:p>
    <w:p>
      <w:pPr>
        <w:spacing w:line="480" w:lineRule="exact"/>
        <w:rPr>
          <w:rFonts w:ascii="仿宋" w:hAnsi="仿宋" w:eastAsia="仿宋" w:cs="仿宋"/>
          <w:sz w:val="32"/>
          <w:szCs w:val="28"/>
          <w:highlight w:val="none"/>
        </w:rPr>
      </w:pPr>
    </w:p>
    <w:p>
      <w:pPr>
        <w:spacing w:line="480" w:lineRule="exact"/>
        <w:rPr>
          <w:rFonts w:ascii="仿宋" w:hAnsi="仿宋" w:eastAsia="仿宋" w:cs="仿宋"/>
          <w:sz w:val="32"/>
          <w:szCs w:val="28"/>
          <w:highlight w:val="none"/>
        </w:rPr>
      </w:pPr>
      <w:r>
        <w:rPr>
          <w:rFonts w:hint="eastAsia" w:ascii="仿宋" w:hAnsi="仿宋" w:eastAsia="仿宋" w:cs="仿宋"/>
          <w:sz w:val="32"/>
          <w:szCs w:val="28"/>
          <w:highlight w:val="none"/>
        </w:rPr>
        <w:t>乙方：</w:t>
      </w:r>
    </w:p>
    <w:p>
      <w:pPr>
        <w:spacing w:line="480" w:lineRule="exact"/>
        <w:rPr>
          <w:rFonts w:ascii="仿宋" w:hAnsi="仿宋" w:eastAsia="仿宋" w:cs="仿宋"/>
          <w:sz w:val="32"/>
          <w:szCs w:val="28"/>
          <w:highlight w:val="none"/>
        </w:rPr>
      </w:pPr>
      <w:r>
        <w:rPr>
          <w:rFonts w:hint="eastAsia" w:ascii="仿宋" w:hAnsi="仿宋" w:eastAsia="仿宋" w:cs="仿宋"/>
          <w:sz w:val="32"/>
          <w:szCs w:val="28"/>
          <w:highlight w:val="none"/>
        </w:rPr>
        <w:t>住      所：</w:t>
      </w:r>
    </w:p>
    <w:p>
      <w:pPr>
        <w:spacing w:line="480" w:lineRule="exact"/>
        <w:rPr>
          <w:rFonts w:ascii="仿宋" w:hAnsi="仿宋" w:eastAsia="仿宋" w:cs="仿宋"/>
          <w:sz w:val="32"/>
          <w:szCs w:val="28"/>
          <w:highlight w:val="none"/>
        </w:rPr>
      </w:pPr>
      <w:r>
        <w:rPr>
          <w:rFonts w:hint="eastAsia" w:ascii="仿宋" w:hAnsi="仿宋" w:eastAsia="仿宋" w:cs="仿宋"/>
          <w:sz w:val="32"/>
          <w:szCs w:val="28"/>
          <w:highlight w:val="none"/>
        </w:rPr>
        <w:t>法定代表人：</w:t>
      </w:r>
    </w:p>
    <w:p>
      <w:pPr>
        <w:spacing w:line="480" w:lineRule="exact"/>
        <w:rPr>
          <w:rFonts w:ascii="仿宋" w:hAnsi="仿宋" w:eastAsia="仿宋" w:cs="仿宋"/>
          <w:sz w:val="32"/>
          <w:szCs w:val="28"/>
          <w:highlight w:val="none"/>
        </w:rPr>
      </w:pPr>
    </w:p>
    <w:p>
      <w:pPr>
        <w:spacing w:line="620" w:lineRule="exact"/>
        <w:rPr>
          <w:rFonts w:ascii="仿宋" w:hAnsi="仿宋" w:eastAsia="仿宋" w:cs="仿宋"/>
          <w:sz w:val="32"/>
          <w:szCs w:val="28"/>
          <w:highlight w:val="none"/>
        </w:rPr>
      </w:pPr>
      <w:r>
        <w:rPr>
          <w:rFonts w:hint="eastAsia" w:ascii="仿宋" w:hAnsi="仿宋" w:eastAsia="仿宋" w:cs="仿宋"/>
          <w:sz w:val="32"/>
          <w:szCs w:val="28"/>
          <w:highlight w:val="none"/>
        </w:rPr>
        <w:t xml:space="preserve">   根据《中华人民共和国民法典》等有关法律规定，甲乙双方经平等协商一致，就甲方聘请乙方律师担任常年法律顾问一事达成协议如下：</w:t>
      </w:r>
    </w:p>
    <w:p>
      <w:pPr>
        <w:spacing w:before="312" w:beforeLines="100" w:line="620" w:lineRule="exact"/>
        <w:ind w:firstLine="482" w:firstLineChars="150"/>
        <w:outlineLvl w:val="0"/>
        <w:rPr>
          <w:rFonts w:ascii="仿宋" w:hAnsi="仿宋" w:eastAsia="仿宋" w:cs="仿宋"/>
          <w:b/>
          <w:bCs/>
          <w:sz w:val="32"/>
          <w:szCs w:val="28"/>
          <w:highlight w:val="none"/>
        </w:rPr>
      </w:pPr>
      <w:bookmarkStart w:id="111" w:name="_Toc24988"/>
      <w:bookmarkStart w:id="112" w:name="_Toc21977"/>
      <w:r>
        <w:rPr>
          <w:rFonts w:hint="eastAsia" w:ascii="仿宋" w:hAnsi="仿宋" w:eastAsia="仿宋" w:cs="仿宋"/>
          <w:b/>
          <w:bCs/>
          <w:sz w:val="32"/>
          <w:szCs w:val="28"/>
          <w:highlight w:val="none"/>
        </w:rPr>
        <w:t>第一条 人员安排</w:t>
      </w:r>
      <w:bookmarkEnd w:id="111"/>
      <w:bookmarkEnd w:id="112"/>
    </w:p>
    <w:p>
      <w:pPr>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甲方聘请乙方律师担任常年法律顾问,并指派</w:t>
      </w:r>
      <w:r>
        <w:rPr>
          <w:rFonts w:hint="eastAsia" w:ascii="仿宋" w:hAnsi="仿宋" w:eastAsia="仿宋" w:cs="仿宋"/>
          <w:sz w:val="32"/>
          <w:szCs w:val="28"/>
          <w:highlight w:val="none"/>
          <w:u w:val="single"/>
        </w:rPr>
        <w:t xml:space="preserve">     </w:t>
      </w:r>
      <w:r>
        <w:rPr>
          <w:rFonts w:hint="eastAsia" w:ascii="仿宋" w:hAnsi="仿宋" w:eastAsia="仿宋" w:cs="仿宋"/>
          <w:sz w:val="32"/>
          <w:szCs w:val="28"/>
          <w:highlight w:val="none"/>
        </w:rPr>
        <w:t>作为常年法律顾问的日常联系人；乙方接受甲方聘请，指派</w:t>
      </w:r>
      <w:r>
        <w:rPr>
          <w:rFonts w:hint="eastAsia" w:ascii="仿宋" w:hAnsi="仿宋" w:eastAsia="仿宋" w:cs="仿宋"/>
          <w:bCs/>
          <w:sz w:val="32"/>
          <w:szCs w:val="28"/>
          <w:highlight w:val="none"/>
          <w:u w:val="single"/>
        </w:rPr>
        <w:t xml:space="preserve">    </w:t>
      </w:r>
      <w:r>
        <w:rPr>
          <w:rFonts w:hint="eastAsia" w:ascii="仿宋" w:hAnsi="仿宋" w:eastAsia="仿宋" w:cs="仿宋"/>
          <w:sz w:val="32"/>
          <w:szCs w:val="28"/>
          <w:highlight w:val="none"/>
        </w:rPr>
        <w:t>担任甲方常年法律顾问，指定</w:t>
      </w:r>
      <w:r>
        <w:rPr>
          <w:rFonts w:hint="eastAsia" w:ascii="仿宋" w:hAnsi="仿宋" w:eastAsia="仿宋" w:cs="仿宋"/>
          <w:sz w:val="32"/>
          <w:szCs w:val="28"/>
          <w:highlight w:val="none"/>
          <w:u w:val="single"/>
        </w:rPr>
        <w:t xml:space="preserve">      </w:t>
      </w:r>
      <w:r>
        <w:rPr>
          <w:rFonts w:hint="eastAsia" w:ascii="仿宋" w:hAnsi="仿宋" w:eastAsia="仿宋" w:cs="仿宋"/>
          <w:sz w:val="32"/>
          <w:szCs w:val="28"/>
          <w:highlight w:val="none"/>
        </w:rPr>
        <w:t>律师作为常年法律顾问的日常联系人。</w:t>
      </w:r>
    </w:p>
    <w:p>
      <w:pPr>
        <w:pStyle w:val="19"/>
        <w:spacing w:before="312" w:beforeLines="100" w:line="620" w:lineRule="exact"/>
        <w:ind w:firstLine="482" w:firstLineChars="150"/>
        <w:outlineLvl w:val="0"/>
        <w:rPr>
          <w:rFonts w:ascii="仿宋" w:hAnsi="仿宋" w:eastAsia="仿宋" w:cs="仿宋"/>
          <w:b/>
          <w:bCs/>
          <w:sz w:val="32"/>
          <w:szCs w:val="28"/>
          <w:highlight w:val="none"/>
        </w:rPr>
      </w:pPr>
      <w:bookmarkStart w:id="113" w:name="_Toc15408"/>
      <w:bookmarkStart w:id="114" w:name="_Toc12419"/>
      <w:r>
        <w:rPr>
          <w:rFonts w:hint="eastAsia" w:ascii="仿宋" w:hAnsi="仿宋" w:eastAsia="仿宋" w:cs="仿宋"/>
          <w:b/>
          <w:bCs/>
          <w:sz w:val="32"/>
          <w:szCs w:val="28"/>
          <w:highlight w:val="none"/>
        </w:rPr>
        <w:t>第二条 常年法律顾问工作宗旨</w:t>
      </w:r>
      <w:bookmarkEnd w:id="113"/>
      <w:bookmarkEnd w:id="114"/>
    </w:p>
    <w:p>
      <w:pPr>
        <w:pStyle w:val="20"/>
        <w:spacing w:line="600" w:lineRule="exact"/>
        <w:ind w:firstLine="480" w:firstLineChars="150"/>
        <w:rPr>
          <w:rFonts w:ascii="仿宋" w:hAnsi="仿宋" w:eastAsia="仿宋" w:cs="仿宋"/>
          <w:color w:val="FF0000"/>
          <w:szCs w:val="28"/>
          <w:highlight w:val="none"/>
        </w:rPr>
      </w:pPr>
      <w:r>
        <w:rPr>
          <w:rFonts w:hint="eastAsia" w:ascii="仿宋" w:hAnsi="仿宋" w:eastAsia="仿宋" w:cs="仿宋"/>
          <w:szCs w:val="28"/>
          <w:highlight w:val="none"/>
        </w:rPr>
        <w:t>乙方围绕甲方企业发展战略目标，服务于甲方各业务板块，充分发挥在企业日常经营管理、重大决策、重大经营、重大合同、历史遗留问题等事项中合法审查、风险提醒、风险防控的作用。为甲方稳健经营、企业科学发展提供全方位法律保障服务，提高甲方防范法律风险能力。</w:t>
      </w:r>
    </w:p>
    <w:p>
      <w:pPr>
        <w:spacing w:before="312" w:beforeLines="100" w:line="620" w:lineRule="exact"/>
        <w:ind w:firstLine="482" w:firstLineChars="150"/>
        <w:outlineLvl w:val="0"/>
        <w:rPr>
          <w:rFonts w:ascii="仿宋" w:hAnsi="仿宋" w:eastAsia="仿宋" w:cs="仿宋"/>
          <w:b/>
          <w:bCs/>
          <w:sz w:val="32"/>
          <w:szCs w:val="28"/>
          <w:highlight w:val="none"/>
        </w:rPr>
      </w:pPr>
      <w:bookmarkStart w:id="115" w:name="_Toc12252"/>
      <w:bookmarkStart w:id="116" w:name="_Toc10032"/>
      <w:r>
        <w:rPr>
          <w:rFonts w:hint="eastAsia" w:ascii="仿宋" w:hAnsi="仿宋" w:eastAsia="仿宋" w:cs="仿宋"/>
          <w:b/>
          <w:bCs/>
          <w:sz w:val="32"/>
          <w:szCs w:val="28"/>
          <w:highlight w:val="none"/>
        </w:rPr>
        <w:t>第三条 常年法律顾问工作方式</w:t>
      </w:r>
      <w:bookmarkEnd w:id="115"/>
      <w:bookmarkEnd w:id="116"/>
    </w:p>
    <w:p>
      <w:pPr>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常年法律顾问向甲方提供及时、全面、有效的律师专业法律服务。</w:t>
      </w:r>
    </w:p>
    <w:p>
      <w:pPr>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（一）及时：</w:t>
      </w:r>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1、紧急情况:双方随时联系,常年法律顾问随时提供法律服务；</w:t>
      </w:r>
    </w:p>
    <w:p>
      <w:pPr>
        <w:adjustRightInd w:val="0"/>
        <w:snapToGrid w:val="0"/>
        <w:spacing w:line="56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2、一般情况:乙方出具法律意见书应在甲方提交相关材料后24小时内给予响应并回复；</w:t>
      </w:r>
    </w:p>
    <w:p>
      <w:pPr>
        <w:adjustRightInd w:val="0"/>
        <w:snapToGrid w:val="0"/>
        <w:spacing w:line="56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3、代理甲方委托事务应按相关法律文书规定时间或甲方要求时间办理；</w:t>
      </w:r>
    </w:p>
    <w:p>
      <w:pPr>
        <w:adjustRightInd w:val="0"/>
        <w:snapToGrid w:val="0"/>
        <w:spacing w:line="56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4、指派律师因工作变动、调动等原因不能执行时，应负责及时另派律师接替，但应取得甲方认可，并保障服务质量。</w:t>
      </w:r>
    </w:p>
    <w:p>
      <w:pPr>
        <w:spacing w:line="620" w:lineRule="exact"/>
        <w:rPr>
          <w:rFonts w:ascii="仿宋" w:hAnsi="仿宋" w:eastAsia="仿宋" w:cs="仿宋"/>
          <w:sz w:val="32"/>
          <w:szCs w:val="28"/>
          <w:highlight w:val="none"/>
        </w:rPr>
      </w:pPr>
      <w:r>
        <w:rPr>
          <w:rFonts w:hint="eastAsia" w:ascii="仿宋" w:hAnsi="仿宋" w:eastAsia="仿宋" w:cs="仿宋"/>
          <w:sz w:val="32"/>
          <w:szCs w:val="28"/>
          <w:highlight w:val="none"/>
        </w:rPr>
        <w:t xml:space="preserve">   （二）全面:</w:t>
      </w:r>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1、通过常年法律顾问及法律顾问小组就甲方所涉及的全部法律事务提供服务。</w:t>
      </w:r>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2、甲方一般法律事务由常年法律顾问处理, 对专业性强的专项法律事务, 由常年法律顾问会同相关专业律师组成法律工作小组进行处理。</w:t>
      </w:r>
    </w:p>
    <w:p>
      <w:pPr>
        <w:spacing w:line="620" w:lineRule="exact"/>
        <w:ind w:left="2240" w:hanging="2240" w:hangingChars="700"/>
        <w:rPr>
          <w:rFonts w:ascii="仿宋" w:hAnsi="仿宋" w:eastAsia="仿宋" w:cs="仿宋"/>
          <w:sz w:val="32"/>
          <w:szCs w:val="28"/>
          <w:highlight w:val="none"/>
        </w:rPr>
      </w:pPr>
      <w:r>
        <w:rPr>
          <w:rFonts w:hint="eastAsia" w:ascii="仿宋" w:hAnsi="仿宋" w:eastAsia="仿宋" w:cs="仿宋"/>
          <w:sz w:val="32"/>
          <w:szCs w:val="28"/>
          <w:highlight w:val="none"/>
        </w:rPr>
        <w:t xml:space="preserve">   （三）有效:</w:t>
      </w:r>
    </w:p>
    <w:p>
      <w:pPr>
        <w:spacing w:line="620" w:lineRule="exact"/>
        <w:ind w:firstLine="555"/>
        <w:rPr>
          <w:rFonts w:ascii="仿宋" w:hAnsi="仿宋" w:eastAsia="仿宋" w:cs="仿宋"/>
          <w:sz w:val="32"/>
          <w:szCs w:val="28"/>
          <w:highlight w:val="none"/>
        </w:rPr>
      </w:pPr>
      <w:r>
        <w:rPr>
          <w:rFonts w:hint="eastAsia" w:ascii="仿宋" w:hAnsi="仿宋" w:eastAsia="仿宋" w:cs="仿宋"/>
          <w:sz w:val="32"/>
          <w:szCs w:val="28"/>
          <w:highlight w:val="none"/>
        </w:rPr>
        <w:t>1、根据甲方的实际情况, 选择对甲方最为有利的法律途径维护甲方的合法权益。</w:t>
      </w:r>
    </w:p>
    <w:p>
      <w:pPr>
        <w:spacing w:line="620" w:lineRule="exact"/>
        <w:ind w:firstLine="555"/>
        <w:rPr>
          <w:rFonts w:ascii="仿宋" w:hAnsi="仿宋" w:eastAsia="仿宋" w:cs="仿宋"/>
          <w:sz w:val="32"/>
          <w:szCs w:val="28"/>
          <w:highlight w:val="none"/>
        </w:rPr>
      </w:pPr>
      <w:r>
        <w:rPr>
          <w:rFonts w:hint="eastAsia" w:ascii="仿宋" w:hAnsi="仿宋" w:eastAsia="仿宋" w:cs="仿宋"/>
          <w:sz w:val="32"/>
          <w:szCs w:val="28"/>
          <w:highlight w:val="none"/>
        </w:rPr>
        <w:t>2、在确保工作质量的前提下, 努力为甲方节约法律事务成本,注重投入产出比。</w:t>
      </w:r>
    </w:p>
    <w:p>
      <w:pPr>
        <w:spacing w:before="312" w:beforeLines="100" w:line="620" w:lineRule="exact"/>
        <w:ind w:left="2026" w:leftChars="200" w:hanging="1606" w:hangingChars="500"/>
        <w:outlineLvl w:val="0"/>
        <w:rPr>
          <w:rFonts w:ascii="仿宋" w:hAnsi="仿宋" w:eastAsia="仿宋" w:cs="仿宋"/>
          <w:b/>
          <w:bCs/>
          <w:sz w:val="32"/>
          <w:szCs w:val="28"/>
          <w:highlight w:val="none"/>
        </w:rPr>
      </w:pPr>
      <w:bookmarkStart w:id="117" w:name="_Toc23000"/>
      <w:bookmarkStart w:id="118" w:name="_Toc21265"/>
      <w:r>
        <w:rPr>
          <w:rFonts w:hint="eastAsia" w:ascii="仿宋" w:hAnsi="仿宋" w:eastAsia="仿宋" w:cs="仿宋"/>
          <w:b/>
          <w:bCs/>
          <w:sz w:val="32"/>
          <w:szCs w:val="28"/>
          <w:highlight w:val="none"/>
        </w:rPr>
        <w:t>第四条 常年法律顾问工作内容</w:t>
      </w:r>
      <w:bookmarkEnd w:id="117"/>
      <w:bookmarkEnd w:id="118"/>
    </w:p>
    <w:p>
      <w:pPr>
        <w:spacing w:line="620" w:lineRule="exact"/>
        <w:ind w:left="120" w:leftChars="57" w:firstLine="320" w:firstLineChars="100"/>
        <w:rPr>
          <w:rFonts w:ascii="仿宋" w:hAnsi="仿宋" w:eastAsia="仿宋" w:cs="仿宋"/>
          <w:sz w:val="32"/>
          <w:szCs w:val="28"/>
          <w:highlight w:val="none"/>
        </w:rPr>
      </w:pPr>
      <w:r>
        <w:rPr>
          <w:rFonts w:hint="eastAsia" w:ascii="仿宋" w:hAnsi="仿宋" w:eastAsia="仿宋" w:cs="仿宋"/>
          <w:sz w:val="32"/>
          <w:szCs w:val="28"/>
          <w:highlight w:val="none"/>
        </w:rPr>
        <w:t>（一）法律风险防控体系的建立健全：包括但不限于协助、指导甲方建立健全组织结构体系、管控体系、规章制度体系、合同管理体系、产业板块转型调整等法律风险防范体系。为甲方经济活动提供全方位的风险防控建议和采取的必要措施，堵塞管理漏洞，维护经济利益，控制法律风险。</w:t>
      </w:r>
    </w:p>
    <w:p>
      <w:pPr>
        <w:pStyle w:val="19"/>
        <w:spacing w:line="620" w:lineRule="exact"/>
        <w:ind w:left="134" w:leftChars="64" w:firstLine="320" w:firstLineChars="100"/>
        <w:rPr>
          <w:rFonts w:ascii="仿宋" w:hAnsi="仿宋" w:eastAsia="仿宋" w:cs="仿宋"/>
          <w:sz w:val="32"/>
          <w:szCs w:val="28"/>
          <w:highlight w:val="none"/>
        </w:rPr>
      </w:pPr>
      <w:r>
        <w:rPr>
          <w:rFonts w:hint="eastAsia" w:ascii="仿宋" w:hAnsi="仿宋" w:eastAsia="仿宋" w:cs="仿宋"/>
          <w:sz w:val="32"/>
          <w:szCs w:val="28"/>
          <w:highlight w:val="none"/>
        </w:rPr>
        <w:t>（二）法律文件审查：参与起草、审议、修改甲方在经营、管理及对外经济活动中的合同、协议、章程等有关法律事务文书和规章制度，并参与会签。</w:t>
      </w:r>
    </w:p>
    <w:p>
      <w:pPr>
        <w:pStyle w:val="19"/>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三）日常及专项法律咨询：就甲方日常经营或重大事项提供日常及专项法律咨询服务，以书面或口头方式解答法律咨询事项，提供与甲方活动有关的法律信息，对有关事项的合法性进行审查，参与相关事项初步尽职调查、法律风险分析、评估及论证，列席有关专题会议，提出法律意见和建议，必要时参与有关磋商和谈判，出具法律意见书。</w:t>
      </w:r>
    </w:p>
    <w:p>
      <w:pPr>
        <w:pStyle w:val="19"/>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四）法律纠纷案件的处理：应甲方要求，就甲方及下属单位已经、面临或者可能发生的纠纷，进行法律论证，发表律师意见，提出解决方案，必要时出具律师函或法律意见书；受甲方委托签署、送达或者接受法律文件，代为办理相关资信调查法律事务，或者参与非诉讼谈判、协调、调解。</w:t>
      </w:r>
    </w:p>
    <w:p>
      <w:pPr>
        <w:pStyle w:val="19"/>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（五）法律事务培训事项：根据甲方要求开展相关法律知识培训或专项法律风险防范培训等，每年开展法律培训不少于四次。</w:t>
      </w:r>
    </w:p>
    <w:p>
      <w:pPr>
        <w:pStyle w:val="19"/>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六）突发事件、信访事件处理：应甲方要求，参与涉及甲方及下属单位的突发事件、信访事件的处理，列席相关会议、参加有关磋商、谈判，提出解决方案、发表律师意见，出具法律意见书或律师函。必要时对甲方起草的新闻通稿、信访回复等文件进行审核修改、提出法律意见或建议。</w:t>
      </w:r>
    </w:p>
    <w:p>
      <w:pPr>
        <w:pStyle w:val="19"/>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七）办理双方商定的其他法律事务：甲方各类型必须进入诉讼或者仲裁法律程序的法律纠纷案件的专案代理事务以及投资并购、合作开发、改制重组、上市等专项委托法律事务不在乙方常年法律顾问服务之列，但乙方接受甲方该等事项委托，收取的委托代理费用必须在其收费标准基础上给予一定程度的优惠。</w:t>
      </w:r>
    </w:p>
    <w:p>
      <w:pPr>
        <w:pStyle w:val="12"/>
        <w:spacing w:before="120" w:beforeAutospacing="0" w:after="0" w:afterAutospacing="0" w:line="620" w:lineRule="exact"/>
        <w:ind w:firstLine="480"/>
        <w:rPr>
          <w:rFonts w:ascii="仿宋" w:hAnsi="仿宋" w:eastAsia="仿宋" w:cs="仿宋"/>
          <w:sz w:val="32"/>
          <w:szCs w:val="28"/>
          <w:highlight w:val="none"/>
        </w:rPr>
      </w:pPr>
      <w:r>
        <w:rPr>
          <w:rFonts w:hint="eastAsia" w:ascii="仿宋" w:hAnsi="仿宋" w:eastAsia="仿宋" w:cs="仿宋"/>
          <w:sz w:val="32"/>
          <w:szCs w:val="28"/>
          <w:highlight w:val="none"/>
        </w:rPr>
        <w:t>（八）</w:t>
      </w:r>
      <w:r>
        <w:rPr>
          <w:rFonts w:hint="eastAsia" w:ascii="仿宋" w:hAnsi="仿宋" w:eastAsia="仿宋" w:cs="仿宋"/>
          <w:color w:val="404040"/>
          <w:sz w:val="32"/>
          <w:szCs w:val="28"/>
          <w:highlight w:val="none"/>
        </w:rPr>
        <w:t>每年需向公司法务管理部门提交半年度及年度书面法律服务工作报告（分别为6月20日及12月20日前），并对公司经营管理和业务发展等方面提出有针对性的工作建议。</w:t>
      </w:r>
    </w:p>
    <w:p>
      <w:pPr>
        <w:spacing w:line="620" w:lineRule="exact"/>
        <w:ind w:left="120" w:leftChars="57" w:firstLine="320" w:firstLineChars="100"/>
        <w:rPr>
          <w:rFonts w:ascii="仿宋" w:hAnsi="仿宋" w:eastAsia="仿宋" w:cs="仿宋"/>
          <w:sz w:val="32"/>
          <w:szCs w:val="28"/>
          <w:highlight w:val="none"/>
        </w:rPr>
      </w:pPr>
      <w:r>
        <w:rPr>
          <w:rFonts w:hint="eastAsia" w:ascii="仿宋" w:hAnsi="仿宋" w:eastAsia="仿宋" w:cs="仿宋"/>
          <w:sz w:val="32"/>
          <w:szCs w:val="28"/>
          <w:highlight w:val="none"/>
        </w:rPr>
        <w:t>（九）办理甲方交办的其他法律事务。</w:t>
      </w:r>
    </w:p>
    <w:p>
      <w:pPr>
        <w:pStyle w:val="12"/>
        <w:spacing w:before="120" w:beforeAutospacing="0" w:after="0" w:afterAutospacing="0"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本协议服务对象范围包括甲方及其所属子、分公司。具体为甲方旗下武汉市城市防洪勘测设计院有限公司（以下简称“防洪院”）、 湖北启航规划建筑设计有限公司2家子公司及</w:t>
      </w:r>
      <w:r>
        <w:rPr>
          <w:rFonts w:hint="eastAsia" w:ascii="仿宋" w:hAnsi="仿宋" w:eastAsia="仿宋" w:cs="仿宋"/>
          <w:color w:val="404040"/>
          <w:sz w:val="32"/>
          <w:szCs w:val="28"/>
          <w:highlight w:val="none"/>
        </w:rPr>
        <w:t>生态院</w:t>
      </w:r>
      <w:r>
        <w:rPr>
          <w:rFonts w:hint="eastAsia" w:ascii="仿宋" w:hAnsi="仿宋" w:eastAsia="仿宋" w:cs="仿宋"/>
          <w:sz w:val="32"/>
          <w:szCs w:val="28"/>
          <w:highlight w:val="none"/>
        </w:rPr>
        <w:t>江岸等9家分公司；另防洪院下设的1家控股子公司武汉胜浪工程有限公司；1家关联企业。</w:t>
      </w:r>
      <w:r>
        <w:rPr>
          <w:rFonts w:hint="eastAsia" w:ascii="仿宋" w:hAnsi="仿宋" w:eastAsia="仿宋" w:cs="仿宋"/>
          <w:sz w:val="32"/>
          <w:highlight w:val="none"/>
        </w:rPr>
        <w:t xml:space="preserve">  </w:t>
      </w:r>
      <w:r>
        <w:rPr>
          <w:rFonts w:hint="eastAsia" w:ascii="仿宋" w:hAnsi="仿宋" w:eastAsia="仿宋" w:cs="仿宋"/>
          <w:sz w:val="32"/>
          <w:szCs w:val="28"/>
          <w:highlight w:val="none"/>
        </w:rPr>
        <w:t xml:space="preserve"> </w:t>
      </w:r>
    </w:p>
    <w:p>
      <w:pPr>
        <w:pStyle w:val="19"/>
        <w:spacing w:before="312" w:beforeLines="100" w:line="620" w:lineRule="exact"/>
        <w:ind w:firstLine="643" w:firstLineChars="200"/>
        <w:outlineLvl w:val="0"/>
        <w:rPr>
          <w:rFonts w:ascii="仿宋" w:hAnsi="仿宋" w:eastAsia="仿宋" w:cs="仿宋"/>
          <w:b/>
          <w:bCs/>
          <w:color w:val="000000"/>
          <w:sz w:val="32"/>
          <w:szCs w:val="28"/>
          <w:highlight w:val="none"/>
        </w:rPr>
      </w:pPr>
      <w:bookmarkStart w:id="119" w:name="_Toc5494"/>
      <w:bookmarkStart w:id="120" w:name="_Toc15810"/>
      <w:r>
        <w:rPr>
          <w:rFonts w:hint="eastAsia" w:ascii="仿宋" w:hAnsi="仿宋" w:eastAsia="仿宋" w:cs="仿宋"/>
          <w:b/>
          <w:bCs/>
          <w:color w:val="000000"/>
          <w:sz w:val="32"/>
          <w:szCs w:val="28"/>
          <w:highlight w:val="none"/>
        </w:rPr>
        <w:t>第五条 双方的权利和义务</w:t>
      </w:r>
      <w:bookmarkEnd w:id="119"/>
      <w:bookmarkEnd w:id="120"/>
    </w:p>
    <w:p>
      <w:pPr>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（一）甲方的权利和义务</w:t>
      </w:r>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1、要求乙方律师依照诚实信用、等价有偿原则全面履行本合同。</w:t>
      </w:r>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2、对乙方律师的法律服务进行监督与建议。</w:t>
      </w:r>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3、向乙方真实、客观介绍事实情况，及时提供有关合同、文件等相关资料，为乙方工作提供必要的工作便利和工作条件。</w:t>
      </w:r>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4、按照合同约定及时支付法律服务费用。</w:t>
      </w:r>
    </w:p>
    <w:p>
      <w:pPr>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（二）乙方的权利和义务</w:t>
      </w:r>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1、按照合同约定收取法律服务费用。</w:t>
      </w:r>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2、勤勉尽责地完成甲方交办的法律事务，尽最大努力维护甲方利益。</w:t>
      </w:r>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3、乙方律师在涉及甲方的对抗性案件或者交易活动中，未经甲方同意，不得担任与甲方具有法律上利益冲突的另一方的代理人。</w:t>
      </w:r>
    </w:p>
    <w:p>
      <w:pPr>
        <w:adjustRightInd w:val="0"/>
        <w:snapToGrid w:val="0"/>
        <w:spacing w:line="56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4、乙方律师在担任常年法律顾问期间，不得为甲方以外的单位或个人提供不利于甲方的咨询意见。</w:t>
      </w:r>
    </w:p>
    <w:p>
      <w:pPr>
        <w:spacing w:before="312" w:beforeLines="100" w:line="620" w:lineRule="exact"/>
        <w:ind w:firstLine="643" w:firstLineChars="200"/>
        <w:outlineLvl w:val="0"/>
        <w:rPr>
          <w:rFonts w:ascii="仿宋" w:hAnsi="仿宋" w:eastAsia="仿宋" w:cs="仿宋"/>
          <w:b/>
          <w:bCs/>
          <w:sz w:val="32"/>
          <w:szCs w:val="28"/>
          <w:highlight w:val="none"/>
        </w:rPr>
      </w:pPr>
      <w:bookmarkStart w:id="121" w:name="_Toc5679"/>
      <w:bookmarkStart w:id="122" w:name="_Toc7822"/>
      <w:r>
        <w:rPr>
          <w:rFonts w:hint="eastAsia" w:ascii="仿宋" w:hAnsi="仿宋" w:eastAsia="仿宋" w:cs="仿宋"/>
          <w:b/>
          <w:bCs/>
          <w:sz w:val="32"/>
          <w:szCs w:val="28"/>
          <w:highlight w:val="none"/>
        </w:rPr>
        <w:t>第六条 顾问期限</w:t>
      </w:r>
      <w:bookmarkEnd w:id="121"/>
      <w:bookmarkEnd w:id="122"/>
    </w:p>
    <w:p>
      <w:pPr>
        <w:wordWrap w:val="0"/>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甲方聘请乙方律师担任常年法律顾问期限为</w:t>
      </w:r>
      <w:r>
        <w:rPr>
          <w:rFonts w:hint="eastAsia" w:ascii="仿宋" w:hAnsi="仿宋" w:eastAsia="仿宋" w:cs="仿宋"/>
          <w:b/>
          <w:sz w:val="32"/>
          <w:szCs w:val="28"/>
          <w:highlight w:val="none"/>
          <w:u w:val="single"/>
        </w:rPr>
        <w:t xml:space="preserve">   </w:t>
      </w:r>
      <w:r>
        <w:rPr>
          <w:rFonts w:hint="eastAsia" w:ascii="仿宋" w:hAnsi="仿宋" w:eastAsia="仿宋" w:cs="仿宋"/>
          <w:sz w:val="32"/>
          <w:szCs w:val="28"/>
          <w:highlight w:val="none"/>
        </w:rPr>
        <w:t>年,自</w:t>
      </w:r>
      <w:r>
        <w:rPr>
          <w:rFonts w:hint="eastAsia" w:ascii="仿宋" w:hAnsi="仿宋" w:eastAsia="仿宋" w:cs="仿宋"/>
          <w:sz w:val="32"/>
          <w:szCs w:val="28"/>
          <w:highlight w:val="none"/>
          <w:u w:val="single"/>
        </w:rPr>
        <w:t xml:space="preserve"> </w:t>
      </w:r>
      <w:r>
        <w:rPr>
          <w:rFonts w:hint="eastAsia" w:ascii="仿宋" w:hAnsi="仿宋" w:eastAsia="仿宋" w:cs="仿宋"/>
          <w:b/>
          <w:bCs/>
          <w:sz w:val="32"/>
          <w:szCs w:val="28"/>
          <w:highlight w:val="none"/>
          <w:u w:val="single"/>
        </w:rPr>
        <w:t xml:space="preserve">   </w:t>
      </w:r>
      <w:r>
        <w:rPr>
          <w:rFonts w:hint="eastAsia" w:ascii="仿宋" w:hAnsi="仿宋" w:eastAsia="仿宋" w:cs="仿宋"/>
          <w:sz w:val="32"/>
          <w:szCs w:val="28"/>
          <w:highlight w:val="none"/>
        </w:rPr>
        <w:t>年</w:t>
      </w:r>
      <w:r>
        <w:rPr>
          <w:rFonts w:hint="eastAsia" w:ascii="仿宋" w:hAnsi="仿宋" w:eastAsia="仿宋" w:cs="仿宋"/>
          <w:b/>
          <w:bCs/>
          <w:sz w:val="32"/>
          <w:szCs w:val="28"/>
          <w:highlight w:val="none"/>
          <w:u w:val="single"/>
        </w:rPr>
        <w:t xml:space="preserve">    </w:t>
      </w:r>
      <w:r>
        <w:rPr>
          <w:rFonts w:hint="eastAsia" w:ascii="仿宋" w:hAnsi="仿宋" w:eastAsia="仿宋" w:cs="仿宋"/>
          <w:sz w:val="32"/>
          <w:szCs w:val="28"/>
          <w:highlight w:val="none"/>
        </w:rPr>
        <w:t>月</w:t>
      </w:r>
      <w:r>
        <w:rPr>
          <w:rFonts w:hint="eastAsia" w:ascii="仿宋" w:hAnsi="仿宋" w:eastAsia="仿宋" w:cs="仿宋"/>
          <w:b/>
          <w:sz w:val="32"/>
          <w:szCs w:val="28"/>
          <w:highlight w:val="none"/>
          <w:u w:val="single"/>
        </w:rPr>
        <w:t xml:space="preserve">   </w:t>
      </w:r>
      <w:r>
        <w:rPr>
          <w:rFonts w:hint="eastAsia" w:ascii="仿宋" w:hAnsi="仿宋" w:eastAsia="仿宋" w:cs="仿宋"/>
          <w:sz w:val="32"/>
          <w:szCs w:val="28"/>
          <w:highlight w:val="none"/>
        </w:rPr>
        <w:t>日起至</w:t>
      </w:r>
      <w:r>
        <w:rPr>
          <w:rFonts w:hint="eastAsia" w:ascii="仿宋" w:hAnsi="仿宋" w:eastAsia="仿宋" w:cs="仿宋"/>
          <w:sz w:val="32"/>
          <w:szCs w:val="28"/>
          <w:highlight w:val="none"/>
          <w:u w:val="single"/>
        </w:rPr>
        <w:t xml:space="preserve"> </w:t>
      </w:r>
      <w:r>
        <w:rPr>
          <w:rFonts w:hint="eastAsia" w:ascii="仿宋" w:hAnsi="仿宋" w:eastAsia="仿宋" w:cs="仿宋"/>
          <w:b/>
          <w:sz w:val="32"/>
          <w:szCs w:val="28"/>
          <w:highlight w:val="none"/>
          <w:u w:val="single"/>
        </w:rPr>
        <w:t xml:space="preserve">     </w:t>
      </w:r>
      <w:r>
        <w:rPr>
          <w:rFonts w:hint="eastAsia" w:ascii="仿宋" w:hAnsi="仿宋" w:eastAsia="仿宋" w:cs="仿宋"/>
          <w:sz w:val="32"/>
          <w:szCs w:val="28"/>
          <w:highlight w:val="none"/>
        </w:rPr>
        <w:t>年</w:t>
      </w:r>
      <w:r>
        <w:rPr>
          <w:rFonts w:hint="eastAsia" w:ascii="仿宋" w:hAnsi="仿宋" w:eastAsia="仿宋" w:cs="仿宋"/>
          <w:b/>
          <w:sz w:val="32"/>
          <w:szCs w:val="28"/>
          <w:highlight w:val="none"/>
          <w:u w:val="single"/>
        </w:rPr>
        <w:t xml:space="preserve">   </w:t>
      </w:r>
      <w:r>
        <w:rPr>
          <w:rFonts w:hint="eastAsia" w:ascii="仿宋" w:hAnsi="仿宋" w:eastAsia="仿宋" w:cs="仿宋"/>
          <w:sz w:val="32"/>
          <w:szCs w:val="28"/>
          <w:highlight w:val="none"/>
        </w:rPr>
        <w:t>月</w:t>
      </w:r>
      <w:r>
        <w:rPr>
          <w:rFonts w:hint="eastAsia" w:ascii="仿宋" w:hAnsi="仿宋" w:eastAsia="仿宋" w:cs="仿宋"/>
          <w:b/>
          <w:sz w:val="32"/>
          <w:szCs w:val="28"/>
          <w:highlight w:val="none"/>
          <w:u w:val="single"/>
        </w:rPr>
        <w:t xml:space="preserve">   </w:t>
      </w:r>
      <w:r>
        <w:rPr>
          <w:rFonts w:hint="eastAsia" w:ascii="仿宋" w:hAnsi="仿宋" w:eastAsia="仿宋" w:cs="仿宋"/>
          <w:sz w:val="32"/>
          <w:szCs w:val="28"/>
          <w:highlight w:val="none"/>
        </w:rPr>
        <w:t>日止。双方同意续约的，另行签订合同。</w:t>
      </w:r>
    </w:p>
    <w:p>
      <w:pPr>
        <w:wordWrap w:val="0"/>
        <w:spacing w:before="312" w:beforeLines="100" w:line="620" w:lineRule="exact"/>
        <w:ind w:firstLine="643" w:firstLineChars="200"/>
        <w:outlineLvl w:val="0"/>
        <w:rPr>
          <w:rFonts w:ascii="仿宋" w:hAnsi="仿宋" w:eastAsia="仿宋" w:cs="仿宋"/>
          <w:b/>
          <w:bCs/>
          <w:sz w:val="32"/>
          <w:szCs w:val="28"/>
          <w:highlight w:val="none"/>
        </w:rPr>
      </w:pPr>
      <w:bookmarkStart w:id="123" w:name="_Toc6264"/>
      <w:bookmarkStart w:id="124" w:name="_Toc5633"/>
      <w:r>
        <w:rPr>
          <w:rFonts w:hint="eastAsia" w:ascii="仿宋" w:hAnsi="仿宋" w:eastAsia="仿宋" w:cs="仿宋"/>
          <w:b/>
          <w:bCs/>
          <w:sz w:val="32"/>
          <w:szCs w:val="28"/>
          <w:highlight w:val="none"/>
        </w:rPr>
        <w:t>第七条 法律服务费用</w:t>
      </w:r>
      <w:bookmarkEnd w:id="123"/>
      <w:bookmarkEnd w:id="124"/>
    </w:p>
    <w:p>
      <w:pPr>
        <w:pStyle w:val="17"/>
        <w:ind w:firstLine="640"/>
        <w:rPr>
          <w:rFonts w:ascii="仿宋" w:hAnsi="仿宋" w:eastAsia="仿宋" w:cs="仿宋"/>
          <w:sz w:val="32"/>
          <w:szCs w:val="28"/>
          <w:highlight w:val="none"/>
        </w:rPr>
      </w:pPr>
      <w:r>
        <w:rPr>
          <w:rFonts w:hint="eastAsia" w:ascii="仿宋" w:hAnsi="仿宋" w:eastAsia="仿宋" w:cs="仿宋"/>
          <w:sz w:val="32"/>
          <w:szCs w:val="28"/>
          <w:highlight w:val="none"/>
        </w:rPr>
        <w:t>（一）第一年度服务费用为：乙方报价</w:t>
      </w:r>
      <w:r>
        <w:rPr>
          <w:rFonts w:hint="eastAsia" w:ascii="仿宋" w:hAnsi="仿宋" w:eastAsia="仿宋" w:cs="仿宋"/>
          <w:sz w:val="32"/>
          <w:szCs w:val="28"/>
          <w:highlight w:val="none"/>
          <w:u w:val="single"/>
        </w:rPr>
        <w:t xml:space="preserve">   </w:t>
      </w:r>
      <w:r>
        <w:rPr>
          <w:rFonts w:hint="eastAsia" w:ascii="仿宋" w:hAnsi="仿宋" w:eastAsia="仿宋" w:cs="仿宋"/>
          <w:sz w:val="32"/>
          <w:szCs w:val="28"/>
          <w:highlight w:val="none"/>
        </w:rPr>
        <w:t>元扣减本协议签署时甲方所属</w:t>
      </w:r>
      <w:r>
        <w:rPr>
          <w:rFonts w:hint="eastAsia" w:ascii="仿宋" w:hAnsi="仿宋" w:eastAsia="仿宋" w:cs="仿宋"/>
          <w:sz w:val="32"/>
          <w:szCs w:val="28"/>
          <w:highlight w:val="none"/>
          <w:u w:val="single"/>
        </w:rPr>
        <w:t xml:space="preserve">   </w:t>
      </w:r>
      <w:r>
        <w:rPr>
          <w:rFonts w:hint="eastAsia" w:ascii="仿宋" w:hAnsi="仿宋" w:eastAsia="仿宋" w:cs="仿宋"/>
          <w:sz w:val="32"/>
          <w:szCs w:val="28"/>
          <w:highlight w:val="none"/>
        </w:rPr>
        <w:t>公司所聘法律顾问剩余服务期限所对应法律服务费</w:t>
      </w:r>
      <w:r>
        <w:rPr>
          <w:rFonts w:hint="eastAsia" w:ascii="仿宋" w:hAnsi="仿宋" w:eastAsia="仿宋" w:cs="仿宋"/>
          <w:sz w:val="32"/>
          <w:szCs w:val="28"/>
          <w:highlight w:val="none"/>
          <w:u w:val="single"/>
        </w:rPr>
        <w:t xml:space="preserve">   </w:t>
      </w:r>
      <w:r>
        <w:rPr>
          <w:rFonts w:hint="eastAsia" w:ascii="仿宋" w:hAnsi="仿宋" w:eastAsia="仿宋" w:cs="仿宋"/>
          <w:sz w:val="32"/>
          <w:szCs w:val="28"/>
          <w:highlight w:val="none"/>
        </w:rPr>
        <w:t>元之后的金额，即第一年度法律顾问服务费为</w:t>
      </w:r>
      <w:r>
        <w:rPr>
          <w:rFonts w:hint="eastAsia" w:ascii="仿宋" w:hAnsi="仿宋" w:eastAsia="仿宋" w:cs="仿宋"/>
          <w:sz w:val="32"/>
          <w:szCs w:val="28"/>
          <w:highlight w:val="none"/>
          <w:u w:val="single"/>
        </w:rPr>
        <w:t xml:space="preserve">   </w:t>
      </w:r>
      <w:r>
        <w:rPr>
          <w:rFonts w:hint="eastAsia" w:ascii="仿宋" w:hAnsi="仿宋" w:eastAsia="仿宋" w:cs="仿宋"/>
          <w:sz w:val="32"/>
          <w:szCs w:val="28"/>
          <w:highlight w:val="none"/>
        </w:rPr>
        <w:t>元。第二年度法律顾问服务费为</w:t>
      </w:r>
      <w:r>
        <w:rPr>
          <w:rFonts w:hint="eastAsia" w:ascii="仿宋" w:hAnsi="仿宋" w:eastAsia="仿宋" w:cs="仿宋"/>
          <w:sz w:val="32"/>
          <w:szCs w:val="28"/>
          <w:highlight w:val="none"/>
          <w:u w:val="single"/>
        </w:rPr>
        <w:t xml:space="preserve">   </w:t>
      </w:r>
      <w:r>
        <w:rPr>
          <w:rFonts w:hint="eastAsia" w:ascii="仿宋" w:hAnsi="仿宋" w:eastAsia="仿宋" w:cs="仿宋"/>
          <w:sz w:val="32"/>
          <w:szCs w:val="28"/>
          <w:highlight w:val="none"/>
        </w:rPr>
        <w:t>元。本协议价格包含乙方因提供常年法律顾问服务所需支付的税费及履行本协议下全部义务所需的费用，双方另有约定时除外。</w:t>
      </w:r>
    </w:p>
    <w:p>
      <w:pPr>
        <w:pStyle w:val="17"/>
        <w:ind w:firstLine="640" w:firstLineChars="200"/>
        <w:rPr>
          <w:rFonts w:ascii="仿宋" w:hAnsi="仿宋" w:eastAsia="仿宋" w:cs="仿宋"/>
          <w:color w:val="FF0000"/>
          <w:sz w:val="32"/>
          <w:szCs w:val="28"/>
          <w:highlight w:val="none"/>
        </w:rPr>
      </w:pPr>
      <w:r>
        <w:rPr>
          <w:rFonts w:hint="eastAsia" w:ascii="仿宋" w:hAnsi="仿宋" w:eastAsia="仿宋" w:cs="仿宋"/>
          <w:sz w:val="32"/>
          <w:szCs w:val="28"/>
          <w:highlight w:val="none"/>
        </w:rPr>
        <w:t>（二）每年度常年法律顾问服务费用分两次支付，本法律顾问协议生效后10日以内支付第一年第一期费用，支付比例为第一年度法律服务费总额的80%，乙方向甲方提供增值税专用发票；剩余20%根据甲方对乙方年度考核结果按标准支付（考核结果为合格的，全额支付，考核结果为不合格的，支付剩余的80%）。   年  月  日前支付第二年度第一期费用，支付比例为第二年度法律服务费总额的80%，乙方向甲方提供增值税专用发票；第二年度剩余20%常年法律顾问费用按第一年度约定方式处理。</w:t>
      </w:r>
    </w:p>
    <w:p>
      <w:pPr>
        <w:wordWrap w:val="0"/>
        <w:spacing w:line="620" w:lineRule="exact"/>
        <w:ind w:left="2240" w:hanging="2240" w:hangingChars="700"/>
        <w:rPr>
          <w:rFonts w:ascii="仿宋" w:hAnsi="仿宋" w:eastAsia="仿宋" w:cs="仿宋"/>
          <w:sz w:val="32"/>
          <w:szCs w:val="28"/>
          <w:highlight w:val="none"/>
        </w:rPr>
      </w:pPr>
      <w:r>
        <w:rPr>
          <w:rFonts w:hint="eastAsia" w:ascii="仿宋" w:hAnsi="仿宋" w:eastAsia="仿宋" w:cs="仿宋"/>
          <w:sz w:val="32"/>
          <w:szCs w:val="28"/>
          <w:highlight w:val="none"/>
        </w:rPr>
        <w:t xml:space="preserve">   （三）律师代理费</w:t>
      </w:r>
    </w:p>
    <w:p>
      <w:pPr>
        <w:spacing w:line="620" w:lineRule="exact"/>
        <w:ind w:firstLine="640" w:firstLineChars="200"/>
        <w:jc w:val="left"/>
        <w:rPr>
          <w:rFonts w:ascii="仿宋" w:hAnsi="仿宋" w:eastAsia="仿宋" w:cs="仿宋"/>
          <w:sz w:val="32"/>
          <w:szCs w:val="28"/>
          <w:highlight w:val="none"/>
        </w:rPr>
      </w:pPr>
      <w:r>
        <w:rPr>
          <w:rFonts w:hint="eastAsia" w:ascii="仿宋" w:hAnsi="仿宋" w:eastAsia="仿宋" w:cs="仿宋"/>
          <w:sz w:val="32"/>
          <w:szCs w:val="28"/>
          <w:highlight w:val="none"/>
        </w:rPr>
        <w:t>常年法律顾问代理诉讼或仲裁案件，双方另行协商收费标准及签订代理合同。</w:t>
      </w:r>
    </w:p>
    <w:p>
      <w:pPr>
        <w:wordWrap w:val="0"/>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（四）因工作需要成立的法律工作小组中的相关专业律师乙方不另行收费。</w:t>
      </w:r>
    </w:p>
    <w:p>
      <w:pPr>
        <w:spacing w:before="312" w:beforeLines="100" w:line="620" w:lineRule="exact"/>
        <w:ind w:firstLine="643" w:firstLineChars="200"/>
        <w:outlineLvl w:val="0"/>
        <w:rPr>
          <w:rFonts w:ascii="仿宋" w:hAnsi="仿宋" w:eastAsia="仿宋" w:cs="仿宋"/>
          <w:b/>
          <w:bCs/>
          <w:sz w:val="32"/>
          <w:szCs w:val="28"/>
          <w:highlight w:val="none"/>
        </w:rPr>
      </w:pPr>
      <w:bookmarkStart w:id="125" w:name="_Toc25561"/>
      <w:bookmarkStart w:id="126" w:name="_Toc12208"/>
      <w:r>
        <w:rPr>
          <w:rFonts w:hint="eastAsia" w:ascii="仿宋" w:hAnsi="仿宋" w:eastAsia="仿宋" w:cs="仿宋"/>
          <w:b/>
          <w:bCs/>
          <w:sz w:val="32"/>
          <w:szCs w:val="28"/>
          <w:highlight w:val="none"/>
        </w:rPr>
        <w:t>第八条 合同解除</w:t>
      </w:r>
      <w:bookmarkEnd w:id="125"/>
      <w:bookmarkEnd w:id="126"/>
    </w:p>
    <w:p>
      <w:pPr>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（一）甲乙双方协商一致，可以变更或解除本合同。</w:t>
      </w:r>
    </w:p>
    <w:p>
      <w:pPr>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（二）下列情形之一出现时，甲方有权解除合同：</w:t>
      </w:r>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1、因乙方律师工作失误、失职导致甲方蒙受损失的；</w:t>
      </w:r>
    </w:p>
    <w:p>
      <w:pPr>
        <w:spacing w:line="620" w:lineRule="exact"/>
        <w:ind w:firstLine="560"/>
        <w:rPr>
          <w:rFonts w:ascii="仿宋" w:hAnsi="仿宋" w:eastAsia="仿宋" w:cs="仿宋"/>
          <w:sz w:val="32"/>
          <w:szCs w:val="28"/>
          <w:highlight w:val="none"/>
        </w:rPr>
      </w:pPr>
      <w:r>
        <w:rPr>
          <w:rFonts w:hint="eastAsia" w:ascii="仿宋" w:hAnsi="仿宋" w:eastAsia="仿宋" w:cs="仿宋"/>
          <w:sz w:val="32"/>
          <w:szCs w:val="28"/>
          <w:highlight w:val="none"/>
        </w:rPr>
        <w:t>2、违反本协议第四条约定义务之一的；</w:t>
      </w:r>
    </w:p>
    <w:p>
      <w:pPr>
        <w:spacing w:line="620" w:lineRule="exact"/>
        <w:ind w:firstLine="560"/>
        <w:rPr>
          <w:rFonts w:ascii="仿宋" w:hAnsi="仿宋" w:eastAsia="仿宋" w:cs="仿宋"/>
          <w:sz w:val="32"/>
          <w:szCs w:val="28"/>
          <w:highlight w:val="none"/>
        </w:rPr>
      </w:pPr>
      <w:r>
        <w:rPr>
          <w:rFonts w:hint="eastAsia" w:ascii="仿宋" w:hAnsi="仿宋" w:eastAsia="仿宋" w:cs="仿宋"/>
          <w:sz w:val="32"/>
          <w:szCs w:val="28"/>
          <w:highlight w:val="none"/>
        </w:rPr>
        <w:t>3、经甲方催办，乙方拒不按期履行本协议约定之服务内容的；</w:t>
      </w:r>
    </w:p>
    <w:p>
      <w:pPr>
        <w:pStyle w:val="17"/>
        <w:rPr>
          <w:rFonts w:ascii="仿宋" w:hAnsi="仿宋" w:eastAsia="仿宋" w:cs="仿宋"/>
          <w:sz w:val="32"/>
          <w:highlight w:val="none"/>
        </w:rPr>
      </w:pPr>
      <w:r>
        <w:rPr>
          <w:rFonts w:hint="eastAsia" w:ascii="仿宋" w:hAnsi="仿宋" w:eastAsia="仿宋" w:cs="仿宋"/>
          <w:sz w:val="32"/>
          <w:szCs w:val="28"/>
          <w:highlight w:val="none"/>
        </w:rPr>
        <w:t xml:space="preserve">    4、经甲方公正考核，乙方第一年度法律顾问服务不合格的。</w:t>
      </w:r>
    </w:p>
    <w:p>
      <w:pPr>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（三）甲方有下列情形之一的，乙方有权解除合同：</w:t>
      </w:r>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1、甲方委托事项违反法律或者违反律师执业规范、道德的；</w:t>
      </w:r>
    </w:p>
    <w:p>
      <w:pPr>
        <w:spacing w:line="620" w:lineRule="exact"/>
        <w:rPr>
          <w:rFonts w:ascii="仿宋" w:hAnsi="仿宋" w:eastAsia="仿宋" w:cs="仿宋"/>
          <w:sz w:val="32"/>
          <w:szCs w:val="28"/>
          <w:highlight w:val="none"/>
        </w:rPr>
      </w:pPr>
      <w:r>
        <w:rPr>
          <w:rFonts w:hint="eastAsia" w:ascii="仿宋" w:hAnsi="仿宋" w:eastAsia="仿宋" w:cs="仿宋"/>
          <w:sz w:val="32"/>
          <w:szCs w:val="28"/>
          <w:highlight w:val="none"/>
        </w:rPr>
        <w:t xml:space="preserve">    2、甲方捏造事实、伪造证据或者隐瞒重要情节的；</w:t>
      </w:r>
    </w:p>
    <w:p>
      <w:pPr>
        <w:spacing w:line="620" w:lineRule="exact"/>
        <w:rPr>
          <w:rFonts w:ascii="仿宋" w:hAnsi="仿宋" w:eastAsia="仿宋" w:cs="仿宋"/>
          <w:sz w:val="32"/>
          <w:szCs w:val="28"/>
          <w:highlight w:val="none"/>
        </w:rPr>
      </w:pPr>
      <w:r>
        <w:rPr>
          <w:rFonts w:hint="eastAsia" w:ascii="仿宋" w:hAnsi="仿宋" w:eastAsia="仿宋" w:cs="仿宋"/>
          <w:sz w:val="32"/>
          <w:szCs w:val="28"/>
          <w:highlight w:val="none"/>
        </w:rPr>
        <w:t xml:space="preserve">    3、逾期10日仍不向乙方支付法律服务费用的。</w:t>
      </w:r>
    </w:p>
    <w:p>
      <w:pPr>
        <w:spacing w:before="312" w:beforeLines="100" w:line="620" w:lineRule="exact"/>
        <w:ind w:firstLine="643" w:firstLineChars="200"/>
        <w:outlineLvl w:val="0"/>
        <w:rPr>
          <w:rFonts w:ascii="仿宋" w:hAnsi="仿宋" w:eastAsia="仿宋" w:cs="仿宋"/>
          <w:b/>
          <w:bCs/>
          <w:sz w:val="32"/>
          <w:szCs w:val="28"/>
          <w:highlight w:val="none"/>
        </w:rPr>
      </w:pPr>
      <w:bookmarkStart w:id="127" w:name="_Toc6313"/>
      <w:bookmarkStart w:id="128" w:name="_Toc19837"/>
      <w:r>
        <w:rPr>
          <w:rFonts w:hint="eastAsia" w:ascii="仿宋" w:hAnsi="仿宋" w:eastAsia="仿宋" w:cs="仿宋"/>
          <w:b/>
          <w:bCs/>
          <w:sz w:val="32"/>
          <w:szCs w:val="28"/>
          <w:highlight w:val="none"/>
        </w:rPr>
        <w:t>第九条 违约责任</w:t>
      </w:r>
      <w:bookmarkEnd w:id="127"/>
      <w:bookmarkEnd w:id="128"/>
    </w:p>
    <w:p>
      <w:pPr>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（一）如甲方违反本合同，乙方终止本合同的，已收取的法律服务费用不予退还。</w:t>
      </w:r>
    </w:p>
    <w:p>
      <w:pPr>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（二）如乙方违反本合同，甲方终止本合同的，已收取的法律服务费用在扣除合理费用后退还给甲方。</w:t>
      </w:r>
    </w:p>
    <w:p>
      <w:pPr>
        <w:spacing w:line="620" w:lineRule="exact"/>
        <w:ind w:firstLine="480" w:firstLineChars="150"/>
        <w:rPr>
          <w:rFonts w:ascii="仿宋" w:hAnsi="仿宋" w:eastAsia="仿宋" w:cs="仿宋"/>
          <w:sz w:val="32"/>
          <w:szCs w:val="28"/>
          <w:highlight w:val="none"/>
        </w:rPr>
      </w:pPr>
      <w:r>
        <w:rPr>
          <w:rFonts w:hint="eastAsia" w:ascii="仿宋" w:hAnsi="仿宋" w:eastAsia="仿宋" w:cs="仿宋"/>
          <w:sz w:val="32"/>
          <w:szCs w:val="28"/>
          <w:highlight w:val="none"/>
        </w:rPr>
        <w:t>（三）发生下列情形之一给甲方造成损失的，乙方应赔偿甲方的实际损失：</w:t>
      </w:r>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1、乙方丢失、损毁重要法律文书、诉讼材料的；</w:t>
      </w:r>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2、乙方与第三人恶意串通，损害甲方利益的；</w:t>
      </w:r>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3、乙方未经授权，对外泄露甲方商业秘密的。</w:t>
      </w:r>
    </w:p>
    <w:p>
      <w:pPr>
        <w:spacing w:before="312" w:beforeLines="100" w:line="620" w:lineRule="exact"/>
        <w:ind w:firstLine="643" w:firstLineChars="200"/>
        <w:outlineLvl w:val="0"/>
        <w:rPr>
          <w:rFonts w:ascii="仿宋" w:hAnsi="仿宋" w:eastAsia="仿宋" w:cs="仿宋"/>
          <w:b/>
          <w:bCs/>
          <w:sz w:val="32"/>
          <w:szCs w:val="28"/>
          <w:highlight w:val="none"/>
        </w:rPr>
      </w:pPr>
      <w:bookmarkStart w:id="129" w:name="_Toc11868"/>
      <w:bookmarkStart w:id="130" w:name="_Toc20647"/>
      <w:r>
        <w:rPr>
          <w:rFonts w:hint="eastAsia" w:ascii="仿宋" w:hAnsi="仿宋" w:eastAsia="仿宋" w:cs="仿宋"/>
          <w:b/>
          <w:bCs/>
          <w:sz w:val="32"/>
          <w:szCs w:val="28"/>
          <w:highlight w:val="none"/>
        </w:rPr>
        <w:t>第十条 特别约定</w:t>
      </w:r>
      <w:bookmarkEnd w:id="129"/>
      <w:bookmarkEnd w:id="130"/>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常年法律顾问存续期间，若甲方面临政策性重组，则本合同项下甲方债权债务由重组后存续的公司或者新设的公司承继，具体履行事宜，由重组后存续的公司或者新设的公司与乙方协商处理。</w:t>
      </w:r>
    </w:p>
    <w:p>
      <w:pPr>
        <w:spacing w:before="312" w:beforeLines="100" w:line="620" w:lineRule="exact"/>
        <w:ind w:firstLine="643" w:firstLineChars="200"/>
        <w:outlineLvl w:val="0"/>
        <w:rPr>
          <w:rFonts w:ascii="仿宋" w:hAnsi="仿宋" w:eastAsia="仿宋" w:cs="仿宋"/>
          <w:b/>
          <w:bCs/>
          <w:sz w:val="32"/>
          <w:szCs w:val="28"/>
          <w:highlight w:val="none"/>
        </w:rPr>
      </w:pPr>
      <w:bookmarkStart w:id="131" w:name="_Toc23718"/>
      <w:bookmarkStart w:id="132" w:name="_Toc25421"/>
      <w:r>
        <w:rPr>
          <w:rFonts w:hint="eastAsia" w:ascii="仿宋" w:hAnsi="仿宋" w:eastAsia="仿宋" w:cs="仿宋"/>
          <w:b/>
          <w:bCs/>
          <w:sz w:val="32"/>
          <w:szCs w:val="28"/>
          <w:highlight w:val="none"/>
        </w:rPr>
        <w:t>第十一条 保密</w:t>
      </w:r>
      <w:bookmarkEnd w:id="131"/>
      <w:bookmarkEnd w:id="132"/>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甲乙双方应严格保守有关商业秘密，未经许可不得将对方的商业秘密对外展示或传播。</w:t>
      </w:r>
    </w:p>
    <w:p>
      <w:pPr>
        <w:spacing w:before="312" w:beforeLines="100" w:line="620" w:lineRule="exact"/>
        <w:ind w:firstLine="643" w:firstLineChars="200"/>
        <w:outlineLvl w:val="0"/>
        <w:rPr>
          <w:rFonts w:ascii="仿宋" w:hAnsi="仿宋" w:eastAsia="仿宋" w:cs="仿宋"/>
          <w:b/>
          <w:bCs/>
          <w:sz w:val="32"/>
          <w:szCs w:val="28"/>
          <w:highlight w:val="none"/>
        </w:rPr>
      </w:pPr>
      <w:bookmarkStart w:id="133" w:name="_Toc13988"/>
      <w:bookmarkStart w:id="134" w:name="_Toc27404"/>
      <w:r>
        <w:rPr>
          <w:rFonts w:hint="eastAsia" w:ascii="仿宋" w:hAnsi="仿宋" w:eastAsia="仿宋" w:cs="仿宋"/>
          <w:b/>
          <w:bCs/>
          <w:sz w:val="32"/>
          <w:szCs w:val="28"/>
          <w:highlight w:val="none"/>
        </w:rPr>
        <w:t>第十二条 争议解决</w:t>
      </w:r>
      <w:bookmarkEnd w:id="133"/>
      <w:bookmarkEnd w:id="134"/>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凡因本协议引起的或与本协议有关的任何争议, 均应提交武汉仲裁委员会，按照申请仲裁时该会现行有效的仲裁规则进行仲裁。仲裁裁决是终局的，对双方均有约束力。</w:t>
      </w:r>
    </w:p>
    <w:p>
      <w:pPr>
        <w:spacing w:before="312" w:beforeLines="100" w:line="620" w:lineRule="exact"/>
        <w:ind w:firstLine="643" w:firstLineChars="200"/>
        <w:outlineLvl w:val="0"/>
        <w:rPr>
          <w:rFonts w:ascii="仿宋" w:hAnsi="仿宋" w:eastAsia="仿宋" w:cs="仿宋"/>
          <w:b/>
          <w:bCs/>
          <w:sz w:val="32"/>
          <w:szCs w:val="28"/>
          <w:highlight w:val="none"/>
        </w:rPr>
      </w:pPr>
      <w:bookmarkStart w:id="135" w:name="_Toc13165"/>
      <w:bookmarkStart w:id="136" w:name="_Toc1549"/>
      <w:r>
        <w:rPr>
          <w:rFonts w:hint="eastAsia" w:ascii="仿宋" w:hAnsi="仿宋" w:eastAsia="仿宋" w:cs="仿宋"/>
          <w:b/>
          <w:bCs/>
          <w:sz w:val="32"/>
          <w:szCs w:val="28"/>
          <w:highlight w:val="none"/>
        </w:rPr>
        <w:t>第十三条 其他</w:t>
      </w:r>
      <w:bookmarkEnd w:id="135"/>
      <w:bookmarkEnd w:id="136"/>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（一）本协议未尽事宜，双方另行协商，并签订补充协议。</w:t>
      </w:r>
    </w:p>
    <w:p>
      <w:pPr>
        <w:spacing w:line="620" w:lineRule="exact"/>
        <w:ind w:firstLine="640" w:firstLineChars="200"/>
        <w:rPr>
          <w:rFonts w:ascii="仿宋" w:hAnsi="仿宋" w:eastAsia="仿宋" w:cs="仿宋"/>
          <w:sz w:val="32"/>
          <w:szCs w:val="28"/>
          <w:highlight w:val="none"/>
        </w:rPr>
      </w:pPr>
      <w:r>
        <w:rPr>
          <w:rFonts w:hint="eastAsia" w:ascii="仿宋" w:hAnsi="仿宋" w:eastAsia="仿宋" w:cs="仿宋"/>
          <w:sz w:val="32"/>
          <w:szCs w:val="28"/>
          <w:highlight w:val="none"/>
        </w:rPr>
        <w:t>（二）本协议一式陆份，甲方执肆份，乙方执贰份。本协议经双方签字、盖章生效。</w:t>
      </w:r>
    </w:p>
    <w:p>
      <w:pPr>
        <w:spacing w:line="620" w:lineRule="exact"/>
        <w:rPr>
          <w:rFonts w:ascii="仿宋" w:hAnsi="仿宋" w:eastAsia="仿宋" w:cs="仿宋"/>
          <w:sz w:val="32"/>
          <w:szCs w:val="28"/>
          <w:highlight w:val="none"/>
        </w:rPr>
      </w:pPr>
    </w:p>
    <w:p>
      <w:pPr>
        <w:spacing w:line="620" w:lineRule="exact"/>
        <w:rPr>
          <w:rFonts w:ascii="仿宋" w:hAnsi="仿宋" w:eastAsia="仿宋" w:cs="仿宋"/>
          <w:sz w:val="32"/>
          <w:szCs w:val="28"/>
          <w:highlight w:val="none"/>
        </w:rPr>
      </w:pPr>
      <w:r>
        <w:rPr>
          <w:rFonts w:hint="eastAsia" w:ascii="仿宋" w:hAnsi="仿宋" w:eastAsia="仿宋" w:cs="仿宋"/>
          <w:sz w:val="32"/>
          <w:szCs w:val="28"/>
          <w:highlight w:val="none"/>
        </w:rPr>
        <w:t>甲  方：（公章）              乙  方：（公章）</w:t>
      </w:r>
    </w:p>
    <w:p>
      <w:pPr>
        <w:spacing w:line="620" w:lineRule="exact"/>
        <w:rPr>
          <w:rFonts w:ascii="仿宋" w:hAnsi="仿宋" w:eastAsia="仿宋" w:cs="仿宋"/>
          <w:sz w:val="32"/>
          <w:szCs w:val="28"/>
          <w:highlight w:val="none"/>
        </w:rPr>
      </w:pPr>
      <w:r>
        <w:rPr>
          <w:rFonts w:hint="eastAsia" w:ascii="仿宋" w:hAnsi="仿宋" w:eastAsia="仿宋" w:cs="仿宋"/>
          <w:bCs/>
          <w:sz w:val="32"/>
          <w:szCs w:val="28"/>
          <w:highlight w:val="none"/>
        </w:rPr>
        <w:t>法定代表人或授权代表</w:t>
      </w:r>
      <w:r>
        <w:rPr>
          <w:rFonts w:hint="eastAsia" w:ascii="仿宋" w:hAnsi="仿宋" w:eastAsia="仿宋" w:cs="仿宋"/>
          <w:sz w:val="32"/>
          <w:szCs w:val="28"/>
          <w:highlight w:val="none"/>
        </w:rPr>
        <w:t xml:space="preserve">：        </w:t>
      </w:r>
      <w:r>
        <w:rPr>
          <w:rFonts w:hint="eastAsia" w:ascii="仿宋" w:hAnsi="仿宋" w:eastAsia="仿宋" w:cs="仿宋"/>
          <w:bCs/>
          <w:sz w:val="32"/>
          <w:szCs w:val="28"/>
          <w:highlight w:val="none"/>
        </w:rPr>
        <w:t>法定代表人或授权代表</w:t>
      </w:r>
      <w:r>
        <w:rPr>
          <w:rFonts w:hint="eastAsia" w:ascii="仿宋" w:hAnsi="仿宋" w:eastAsia="仿宋" w:cs="仿宋"/>
          <w:sz w:val="32"/>
          <w:szCs w:val="28"/>
          <w:highlight w:val="none"/>
        </w:rPr>
        <w:t>：</w:t>
      </w:r>
    </w:p>
    <w:p>
      <w:pPr>
        <w:spacing w:line="620" w:lineRule="exact"/>
        <w:rPr>
          <w:rFonts w:ascii="仿宋" w:hAnsi="仿宋" w:eastAsia="仿宋" w:cs="仿宋"/>
          <w:sz w:val="32"/>
          <w:szCs w:val="28"/>
          <w:highlight w:val="none"/>
        </w:rPr>
      </w:pPr>
      <w:r>
        <w:rPr>
          <w:rFonts w:hint="eastAsia" w:ascii="仿宋" w:hAnsi="仿宋" w:eastAsia="仿宋" w:cs="仿宋"/>
          <w:sz w:val="32"/>
          <w:szCs w:val="28"/>
          <w:highlight w:val="none"/>
        </w:rPr>
        <w:t>签约时间：     年  月  日      签约时间：   年  月  日</w:t>
      </w:r>
    </w:p>
    <w:p>
      <w:pPr>
        <w:rPr>
          <w:highlight w:val="none"/>
        </w:rPr>
      </w:pPr>
    </w:p>
    <w:p>
      <w:pPr>
        <w:rPr>
          <w:highlight w:val="none"/>
        </w:rPr>
      </w:pPr>
    </w:p>
    <w:sectPr>
      <w:pgSz w:w="11906" w:h="16838"/>
      <w:pgMar w:top="993" w:right="1274"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ind w:firstLine="360"/>
      <w:rPr>
        <w:rStyle w:val="16"/>
      </w:rPr>
    </w:pPr>
    <w:r>
      <w:fldChar w:fldCharType="begin"/>
    </w:r>
    <w:r>
      <w:rPr>
        <w:rStyle w:val="16"/>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pBdr>
      <w:jc w:val="center"/>
      <w:rPr>
        <w:kern w:val="0"/>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pBdr>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left"/>
      <w:rPr>
        <w:rFonts w:ascii="仿宋" w:hAnsi="仿宋" w:eastAsia="仿宋" w:cs="仿宋"/>
        <w:bCs w:val="0"/>
        <w:szCs w:val="21"/>
      </w:rPr>
    </w:pPr>
    <w:r>
      <w:rPr>
        <w:rFonts w:hint="eastAsia" w:ascii="仿宋" w:hAnsi="仿宋" w:eastAsia="仿宋" w:cs="仿宋"/>
        <w:bCs w:val="0"/>
        <w:szCs w:val="21"/>
      </w:rPr>
      <w:t>武汉生态环境设计研究院有限公司2022-2024年度常年法律顾问公开招标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ascii="Arial Narrow" w:hAnsi="Arial Narrow"/>
        <w:b/>
        <w:sz w:val="18"/>
        <w:szCs w:val="18"/>
      </w:rPr>
    </w:pPr>
    <w:r>
      <w:rPr>
        <w:rFonts w:ascii="Arial Narrow" w:hAnsi="Arial Narrow"/>
        <w:bCs w:val="0"/>
        <w:sz w:val="18"/>
        <w:szCs w:val="18"/>
      </w:rPr>
      <w:t xml:space="preserve">                              </w:t>
    </w:r>
  </w:p>
  <w:p>
    <w:pPr>
      <w:pStyle w:val="10"/>
      <w:pBdr>
        <w:bottom w:val="none" w:color="auto" w:sz="0" w:space="0"/>
      </w:pBd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93395"/>
    <w:multiLevelType w:val="singleLevel"/>
    <w:tmpl w:val="80E93395"/>
    <w:lvl w:ilvl="0" w:tentative="0">
      <w:start w:val="5"/>
      <w:numFmt w:val="decimal"/>
      <w:suff w:val="nothing"/>
      <w:lvlText w:val="%1．"/>
      <w:lvlJc w:val="left"/>
      <w:pPr>
        <w:tabs>
          <w:tab w:val="left" w:pos="420"/>
        </w:tabs>
        <w:ind w:left="0" w:firstLine="0"/>
      </w:pPr>
    </w:lvl>
  </w:abstractNum>
  <w:abstractNum w:abstractNumId="1">
    <w:nsid w:val="895AEE6E"/>
    <w:multiLevelType w:val="singleLevel"/>
    <w:tmpl w:val="895AEE6E"/>
    <w:lvl w:ilvl="0" w:tentative="0">
      <w:start w:val="4"/>
      <w:numFmt w:val="decimal"/>
      <w:suff w:val="nothing"/>
      <w:lvlText w:val="%1．"/>
      <w:lvlJc w:val="left"/>
      <w:pPr>
        <w:tabs>
          <w:tab w:val="left" w:pos="420"/>
        </w:tabs>
        <w:ind w:left="0" w:firstLine="0"/>
      </w:pPr>
    </w:lvl>
  </w:abstractNum>
  <w:abstractNum w:abstractNumId="2">
    <w:nsid w:val="8C4CE1B3"/>
    <w:multiLevelType w:val="singleLevel"/>
    <w:tmpl w:val="8C4CE1B3"/>
    <w:lvl w:ilvl="0" w:tentative="0">
      <w:start w:val="1"/>
      <w:numFmt w:val="decimal"/>
      <w:lvlText w:val="%1."/>
      <w:lvlJc w:val="left"/>
      <w:pPr>
        <w:tabs>
          <w:tab w:val="left" w:pos="312"/>
        </w:tabs>
      </w:pPr>
      <w:rPr>
        <w:rFonts w:hint="default"/>
        <w:b/>
        <w:bCs/>
      </w:rPr>
    </w:lvl>
  </w:abstractNum>
  <w:abstractNum w:abstractNumId="3">
    <w:nsid w:val="AB79DE4B"/>
    <w:multiLevelType w:val="singleLevel"/>
    <w:tmpl w:val="AB79DE4B"/>
    <w:lvl w:ilvl="0" w:tentative="0">
      <w:start w:val="3"/>
      <w:numFmt w:val="chineseCountingThousand"/>
      <w:suff w:val="nothing"/>
      <w:lvlText w:val="%1、"/>
      <w:lvlJc w:val="left"/>
      <w:pPr>
        <w:tabs>
          <w:tab w:val="left" w:pos="420"/>
        </w:tabs>
        <w:ind w:left="0" w:firstLine="0"/>
      </w:pPr>
      <w:rPr>
        <w:rFonts w:hint="eastAsia"/>
      </w:rPr>
    </w:lvl>
  </w:abstractNum>
  <w:abstractNum w:abstractNumId="4">
    <w:nsid w:val="AE65923A"/>
    <w:multiLevelType w:val="singleLevel"/>
    <w:tmpl w:val="AE65923A"/>
    <w:lvl w:ilvl="0" w:tentative="0">
      <w:start w:val="1"/>
      <w:numFmt w:val="decimal"/>
      <w:suff w:val="space"/>
      <w:lvlText w:val="%1."/>
      <w:lvlJc w:val="left"/>
    </w:lvl>
  </w:abstractNum>
  <w:abstractNum w:abstractNumId="5">
    <w:nsid w:val="B327AC0E"/>
    <w:multiLevelType w:val="singleLevel"/>
    <w:tmpl w:val="B327AC0E"/>
    <w:lvl w:ilvl="0" w:tentative="0">
      <w:start w:val="1"/>
      <w:numFmt w:val="decimal"/>
      <w:suff w:val="nothing"/>
      <w:lvlText w:val="（%1）"/>
      <w:lvlJc w:val="left"/>
      <w:pPr>
        <w:tabs>
          <w:tab w:val="left" w:pos="420"/>
        </w:tabs>
        <w:ind w:left="0" w:firstLine="0"/>
      </w:pPr>
    </w:lvl>
  </w:abstractNum>
  <w:abstractNum w:abstractNumId="6">
    <w:nsid w:val="BD6A704A"/>
    <w:multiLevelType w:val="singleLevel"/>
    <w:tmpl w:val="BD6A704A"/>
    <w:lvl w:ilvl="0" w:tentative="0">
      <w:start w:val="2"/>
      <w:numFmt w:val="decimal"/>
      <w:suff w:val="nothing"/>
      <w:lvlText w:val="%1．"/>
      <w:lvlJc w:val="left"/>
      <w:pPr>
        <w:tabs>
          <w:tab w:val="left" w:pos="420"/>
        </w:tabs>
        <w:ind w:left="0" w:firstLine="0"/>
      </w:pPr>
    </w:lvl>
  </w:abstractNum>
  <w:abstractNum w:abstractNumId="7">
    <w:nsid w:val="C6B7071C"/>
    <w:multiLevelType w:val="singleLevel"/>
    <w:tmpl w:val="C6B7071C"/>
    <w:lvl w:ilvl="0" w:tentative="0">
      <w:start w:val="1"/>
      <w:numFmt w:val="chineseCountingThousand"/>
      <w:suff w:val="nothing"/>
      <w:lvlText w:val="%1、"/>
      <w:lvlJc w:val="left"/>
      <w:pPr>
        <w:tabs>
          <w:tab w:val="left" w:pos="420"/>
        </w:tabs>
        <w:ind w:left="0" w:firstLine="0"/>
      </w:pPr>
      <w:rPr>
        <w:rFonts w:hint="eastAsia"/>
      </w:rPr>
    </w:lvl>
  </w:abstractNum>
  <w:abstractNum w:abstractNumId="8">
    <w:nsid w:val="C7C422B3"/>
    <w:multiLevelType w:val="singleLevel"/>
    <w:tmpl w:val="C7C422B3"/>
    <w:lvl w:ilvl="0" w:tentative="0">
      <w:start w:val="4"/>
      <w:numFmt w:val="chineseCountingThousand"/>
      <w:suff w:val="nothing"/>
      <w:lvlText w:val="%1、"/>
      <w:lvlJc w:val="left"/>
      <w:pPr>
        <w:tabs>
          <w:tab w:val="left" w:pos="420"/>
        </w:tabs>
        <w:ind w:left="0" w:firstLine="0"/>
      </w:pPr>
      <w:rPr>
        <w:rFonts w:hint="eastAsia"/>
      </w:rPr>
    </w:lvl>
  </w:abstractNum>
  <w:abstractNum w:abstractNumId="9">
    <w:nsid w:val="C91584D2"/>
    <w:multiLevelType w:val="singleLevel"/>
    <w:tmpl w:val="C91584D2"/>
    <w:lvl w:ilvl="0" w:tentative="0">
      <w:start w:val="4"/>
      <w:numFmt w:val="decimal"/>
      <w:suff w:val="nothing"/>
      <w:lvlText w:val="%1．"/>
      <w:lvlJc w:val="left"/>
      <w:pPr>
        <w:tabs>
          <w:tab w:val="left" w:pos="420"/>
        </w:tabs>
        <w:ind w:left="0" w:firstLine="0"/>
      </w:pPr>
    </w:lvl>
  </w:abstractNum>
  <w:abstractNum w:abstractNumId="10">
    <w:nsid w:val="C9E39E21"/>
    <w:multiLevelType w:val="singleLevel"/>
    <w:tmpl w:val="C9E39E21"/>
    <w:lvl w:ilvl="0" w:tentative="0">
      <w:start w:val="2"/>
      <w:numFmt w:val="chineseCountingThousand"/>
      <w:suff w:val="nothing"/>
      <w:lvlText w:val="%1、"/>
      <w:lvlJc w:val="left"/>
      <w:pPr>
        <w:tabs>
          <w:tab w:val="left" w:pos="420"/>
        </w:tabs>
        <w:ind w:left="480" w:firstLine="0"/>
      </w:pPr>
      <w:rPr>
        <w:rFonts w:hint="eastAsia"/>
      </w:rPr>
    </w:lvl>
  </w:abstractNum>
  <w:abstractNum w:abstractNumId="11">
    <w:nsid w:val="CB4EC43C"/>
    <w:multiLevelType w:val="singleLevel"/>
    <w:tmpl w:val="CB4EC43C"/>
    <w:lvl w:ilvl="0" w:tentative="0">
      <w:start w:val="2"/>
      <w:numFmt w:val="chineseCountingThousand"/>
      <w:suff w:val="nothing"/>
      <w:lvlText w:val="%1、"/>
      <w:lvlJc w:val="left"/>
      <w:pPr>
        <w:tabs>
          <w:tab w:val="left" w:pos="420"/>
        </w:tabs>
        <w:ind w:left="0" w:firstLine="0"/>
      </w:pPr>
      <w:rPr>
        <w:rFonts w:hint="eastAsia"/>
      </w:rPr>
    </w:lvl>
  </w:abstractNum>
  <w:abstractNum w:abstractNumId="12">
    <w:nsid w:val="E26413D3"/>
    <w:multiLevelType w:val="singleLevel"/>
    <w:tmpl w:val="E26413D3"/>
    <w:lvl w:ilvl="0" w:tentative="0">
      <w:start w:val="1"/>
      <w:numFmt w:val="decimal"/>
      <w:suff w:val="nothing"/>
      <w:lvlText w:val="（%1）"/>
      <w:lvlJc w:val="left"/>
      <w:pPr>
        <w:tabs>
          <w:tab w:val="left" w:pos="420"/>
        </w:tabs>
        <w:ind w:left="0" w:firstLine="0"/>
      </w:pPr>
    </w:lvl>
  </w:abstractNum>
  <w:abstractNum w:abstractNumId="13">
    <w:nsid w:val="E396AC69"/>
    <w:multiLevelType w:val="singleLevel"/>
    <w:tmpl w:val="E396AC69"/>
    <w:lvl w:ilvl="0" w:tentative="0">
      <w:start w:val="1"/>
      <w:numFmt w:val="decimal"/>
      <w:suff w:val="nothing"/>
      <w:lvlText w:val="（%1）"/>
      <w:lvlJc w:val="left"/>
      <w:pPr>
        <w:tabs>
          <w:tab w:val="left" w:pos="420"/>
        </w:tabs>
        <w:ind w:left="0" w:firstLine="0"/>
      </w:pPr>
    </w:lvl>
  </w:abstractNum>
  <w:abstractNum w:abstractNumId="14">
    <w:nsid w:val="FEF791DA"/>
    <w:multiLevelType w:val="singleLevel"/>
    <w:tmpl w:val="FEF791DA"/>
    <w:lvl w:ilvl="0" w:tentative="0">
      <w:start w:val="6"/>
      <w:numFmt w:val="decimal"/>
      <w:suff w:val="nothing"/>
      <w:lvlText w:val="%1．"/>
      <w:lvlJc w:val="left"/>
      <w:pPr>
        <w:tabs>
          <w:tab w:val="left" w:pos="420"/>
        </w:tabs>
        <w:ind w:left="0" w:firstLine="0"/>
      </w:pPr>
    </w:lvl>
  </w:abstractNum>
  <w:abstractNum w:abstractNumId="15">
    <w:nsid w:val="0560CAF0"/>
    <w:multiLevelType w:val="singleLevel"/>
    <w:tmpl w:val="0560CAF0"/>
    <w:lvl w:ilvl="0" w:tentative="0">
      <w:start w:val="1"/>
      <w:numFmt w:val="decimal"/>
      <w:suff w:val="nothing"/>
      <w:lvlText w:val="（%1）"/>
      <w:lvlJc w:val="left"/>
    </w:lvl>
  </w:abstractNum>
  <w:abstractNum w:abstractNumId="16">
    <w:nsid w:val="0E6086C7"/>
    <w:multiLevelType w:val="singleLevel"/>
    <w:tmpl w:val="0E6086C7"/>
    <w:lvl w:ilvl="0" w:tentative="0">
      <w:start w:val="4"/>
      <w:numFmt w:val="chineseCountingThousand"/>
      <w:suff w:val="nothing"/>
      <w:lvlText w:val="%1、"/>
      <w:lvlJc w:val="left"/>
      <w:pPr>
        <w:tabs>
          <w:tab w:val="left" w:pos="420"/>
        </w:tabs>
        <w:ind w:left="0" w:firstLine="0"/>
      </w:pPr>
      <w:rPr>
        <w:rFonts w:hint="eastAsia"/>
      </w:rPr>
    </w:lvl>
  </w:abstractNum>
  <w:abstractNum w:abstractNumId="17">
    <w:nsid w:val="106DEE1C"/>
    <w:multiLevelType w:val="singleLevel"/>
    <w:tmpl w:val="106DEE1C"/>
    <w:lvl w:ilvl="0" w:tentative="0">
      <w:start w:val="1"/>
      <w:numFmt w:val="decimal"/>
      <w:suff w:val="nothing"/>
      <w:lvlText w:val="%1．"/>
      <w:lvlJc w:val="left"/>
      <w:pPr>
        <w:tabs>
          <w:tab w:val="left" w:pos="420"/>
        </w:tabs>
        <w:ind w:left="0" w:firstLine="0"/>
      </w:pPr>
    </w:lvl>
  </w:abstractNum>
  <w:abstractNum w:abstractNumId="18">
    <w:nsid w:val="197725D6"/>
    <w:multiLevelType w:val="singleLevel"/>
    <w:tmpl w:val="197725D6"/>
    <w:lvl w:ilvl="0" w:tentative="0">
      <w:start w:val="1"/>
      <w:numFmt w:val="chineseCountingThousand"/>
      <w:suff w:val="nothing"/>
      <w:lvlText w:val="%1、"/>
      <w:lvlJc w:val="left"/>
      <w:pPr>
        <w:tabs>
          <w:tab w:val="left" w:pos="420"/>
        </w:tabs>
        <w:ind w:left="0" w:firstLine="0"/>
      </w:pPr>
      <w:rPr>
        <w:rFonts w:hint="eastAsia"/>
      </w:rPr>
    </w:lvl>
  </w:abstractNum>
  <w:abstractNum w:abstractNumId="19">
    <w:nsid w:val="35B88AD6"/>
    <w:multiLevelType w:val="singleLevel"/>
    <w:tmpl w:val="35B88AD6"/>
    <w:lvl w:ilvl="0" w:tentative="0">
      <w:start w:val="1"/>
      <w:numFmt w:val="decimal"/>
      <w:suff w:val="nothing"/>
      <w:lvlText w:val="（%1）"/>
      <w:lvlJc w:val="left"/>
      <w:pPr>
        <w:tabs>
          <w:tab w:val="left" w:pos="420"/>
        </w:tabs>
        <w:ind w:left="0" w:firstLine="0"/>
      </w:pPr>
    </w:lvl>
  </w:abstractNum>
  <w:abstractNum w:abstractNumId="20">
    <w:nsid w:val="3A6D9BDE"/>
    <w:multiLevelType w:val="singleLevel"/>
    <w:tmpl w:val="3A6D9BDE"/>
    <w:lvl w:ilvl="0" w:tentative="0">
      <w:start w:val="1"/>
      <w:numFmt w:val="decimal"/>
      <w:suff w:val="nothing"/>
      <w:lvlText w:val="%1．"/>
      <w:lvlJc w:val="left"/>
      <w:pPr>
        <w:tabs>
          <w:tab w:val="left" w:pos="420"/>
        </w:tabs>
        <w:ind w:left="0" w:firstLine="0"/>
      </w:pPr>
    </w:lvl>
  </w:abstractNum>
  <w:abstractNum w:abstractNumId="21">
    <w:nsid w:val="3B16D00E"/>
    <w:multiLevelType w:val="singleLevel"/>
    <w:tmpl w:val="3B16D00E"/>
    <w:lvl w:ilvl="0" w:tentative="0">
      <w:start w:val="1"/>
      <w:numFmt w:val="decimal"/>
      <w:suff w:val="nothing"/>
      <w:lvlText w:val="%1．"/>
      <w:lvlJc w:val="left"/>
      <w:pPr>
        <w:tabs>
          <w:tab w:val="left" w:pos="420"/>
        </w:tabs>
        <w:ind w:left="0" w:firstLine="0"/>
      </w:pPr>
    </w:lvl>
  </w:abstractNum>
  <w:abstractNum w:abstractNumId="22">
    <w:nsid w:val="3CA9C658"/>
    <w:multiLevelType w:val="multilevel"/>
    <w:tmpl w:val="3CA9C658"/>
    <w:lvl w:ilvl="0" w:tentative="0">
      <w:start w:val="1"/>
      <w:numFmt w:val="decimal"/>
      <w:suff w:val="nothing"/>
      <w:lvlText w:val="%1．"/>
      <w:lvlJc w:val="left"/>
      <w:pPr>
        <w:tabs>
          <w:tab w:val="left" w:pos="420"/>
        </w:tabs>
        <w:ind w:left="0" w:firstLine="0"/>
      </w:pPr>
    </w:lvl>
    <w:lvl w:ilvl="1" w:tentative="0">
      <w:start w:val="1"/>
      <w:numFmt w:val="decimal"/>
      <w:lvlText w:val="(%2)"/>
      <w:lvlJc w:val="left"/>
      <w:pPr>
        <w:tabs>
          <w:tab w:val="left" w:pos="840"/>
        </w:tabs>
        <w:ind w:left="840" w:hanging="420"/>
      </w:pPr>
      <w:rPr>
        <w:rFonts w:hint="default" w:ascii="仿宋" w:hAnsi="仿宋" w:eastAsia="仿宋" w:cs="仿宋"/>
        <w:sz w:val="32"/>
        <w:szCs w:val="32"/>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3">
    <w:nsid w:val="3D1AB849"/>
    <w:multiLevelType w:val="singleLevel"/>
    <w:tmpl w:val="3D1AB849"/>
    <w:lvl w:ilvl="0" w:tentative="0">
      <w:start w:val="2"/>
      <w:numFmt w:val="decimal"/>
      <w:suff w:val="nothing"/>
      <w:lvlText w:val="（%1）"/>
      <w:lvlJc w:val="left"/>
      <w:pPr>
        <w:tabs>
          <w:tab w:val="left" w:pos="420"/>
        </w:tabs>
        <w:ind w:left="0" w:firstLine="0"/>
      </w:pPr>
    </w:lvl>
  </w:abstractNum>
  <w:abstractNum w:abstractNumId="24">
    <w:nsid w:val="45B17BD1"/>
    <w:multiLevelType w:val="singleLevel"/>
    <w:tmpl w:val="45B17BD1"/>
    <w:lvl w:ilvl="0" w:tentative="0">
      <w:start w:val="3"/>
      <w:numFmt w:val="chineseCountingThousand"/>
      <w:suff w:val="nothing"/>
      <w:lvlText w:val="%1、"/>
      <w:lvlJc w:val="left"/>
      <w:pPr>
        <w:tabs>
          <w:tab w:val="left" w:pos="420"/>
        </w:tabs>
        <w:ind w:left="0" w:firstLine="0"/>
      </w:pPr>
      <w:rPr>
        <w:rFonts w:hint="eastAsia"/>
      </w:rPr>
    </w:lvl>
  </w:abstractNum>
  <w:abstractNum w:abstractNumId="25">
    <w:nsid w:val="4BFC8A09"/>
    <w:multiLevelType w:val="singleLevel"/>
    <w:tmpl w:val="4BFC8A09"/>
    <w:lvl w:ilvl="0" w:tentative="0">
      <w:start w:val="2"/>
      <w:numFmt w:val="chineseCountingThousand"/>
      <w:suff w:val="nothing"/>
      <w:lvlText w:val="（%1）"/>
      <w:lvlJc w:val="left"/>
      <w:pPr>
        <w:tabs>
          <w:tab w:val="left" w:pos="420"/>
        </w:tabs>
        <w:ind w:left="0" w:firstLine="0"/>
      </w:pPr>
      <w:rPr>
        <w:rFonts w:hint="eastAsia"/>
      </w:rPr>
    </w:lvl>
  </w:abstractNum>
  <w:abstractNum w:abstractNumId="26">
    <w:nsid w:val="599FEE20"/>
    <w:multiLevelType w:val="singleLevel"/>
    <w:tmpl w:val="599FEE20"/>
    <w:lvl w:ilvl="0" w:tentative="0">
      <w:start w:val="5"/>
      <w:numFmt w:val="decimal"/>
      <w:suff w:val="nothing"/>
      <w:lvlText w:val="%1．"/>
      <w:lvlJc w:val="left"/>
      <w:pPr>
        <w:tabs>
          <w:tab w:val="left" w:pos="420"/>
        </w:tabs>
        <w:ind w:left="0" w:firstLine="0"/>
      </w:pPr>
    </w:lvl>
  </w:abstractNum>
  <w:abstractNum w:abstractNumId="27">
    <w:nsid w:val="5A8CC88A"/>
    <w:multiLevelType w:val="singleLevel"/>
    <w:tmpl w:val="5A8CC88A"/>
    <w:lvl w:ilvl="0" w:tentative="0">
      <w:start w:val="1"/>
      <w:numFmt w:val="chineseCountingThousand"/>
      <w:suff w:val="nothing"/>
      <w:lvlText w:val="（%1）"/>
      <w:lvlJc w:val="left"/>
      <w:pPr>
        <w:tabs>
          <w:tab w:val="left" w:pos="420"/>
        </w:tabs>
        <w:ind w:left="0" w:firstLine="0"/>
      </w:pPr>
      <w:rPr>
        <w:rFonts w:hint="eastAsia"/>
      </w:rPr>
    </w:lvl>
  </w:abstractNum>
  <w:abstractNum w:abstractNumId="28">
    <w:nsid w:val="62DF9A70"/>
    <w:multiLevelType w:val="singleLevel"/>
    <w:tmpl w:val="62DF9A70"/>
    <w:lvl w:ilvl="0" w:tentative="0">
      <w:start w:val="3"/>
      <w:numFmt w:val="decimal"/>
      <w:suff w:val="nothing"/>
      <w:lvlText w:val="%1．"/>
      <w:lvlJc w:val="left"/>
      <w:pPr>
        <w:tabs>
          <w:tab w:val="left" w:pos="420"/>
        </w:tabs>
        <w:ind w:left="0" w:firstLine="0"/>
      </w:pPr>
    </w:lvl>
  </w:abstractNum>
  <w:abstractNum w:abstractNumId="29">
    <w:nsid w:val="70F9E0ED"/>
    <w:multiLevelType w:val="singleLevel"/>
    <w:tmpl w:val="70F9E0ED"/>
    <w:lvl w:ilvl="0" w:tentative="0">
      <w:start w:val="1"/>
      <w:numFmt w:val="chineseCounting"/>
      <w:suff w:val="nothing"/>
      <w:lvlText w:val="（%1）"/>
      <w:lvlJc w:val="left"/>
      <w:rPr>
        <w:rFonts w:hint="eastAsia"/>
      </w:rPr>
    </w:lvl>
  </w:abstractNum>
  <w:abstractNum w:abstractNumId="30">
    <w:nsid w:val="734513E9"/>
    <w:multiLevelType w:val="singleLevel"/>
    <w:tmpl w:val="734513E9"/>
    <w:lvl w:ilvl="0" w:tentative="0">
      <w:start w:val="1"/>
      <w:numFmt w:val="chineseCountingThousand"/>
      <w:suff w:val="nothing"/>
      <w:lvlText w:val="%1、"/>
      <w:lvlJc w:val="left"/>
      <w:pPr>
        <w:tabs>
          <w:tab w:val="left" w:pos="420"/>
        </w:tabs>
        <w:ind w:left="0" w:firstLine="0"/>
      </w:pPr>
      <w:rPr>
        <w:rFonts w:hint="eastAsia"/>
      </w:rPr>
    </w:lvl>
  </w:abstractNum>
  <w:abstractNum w:abstractNumId="31">
    <w:nsid w:val="7AAE1068"/>
    <w:multiLevelType w:val="singleLevel"/>
    <w:tmpl w:val="7AAE1068"/>
    <w:lvl w:ilvl="0" w:tentative="0">
      <w:start w:val="2"/>
      <w:numFmt w:val="chineseCountingThousand"/>
      <w:suff w:val="nothing"/>
      <w:lvlText w:val="%1、"/>
      <w:lvlJc w:val="left"/>
      <w:pPr>
        <w:tabs>
          <w:tab w:val="left" w:pos="420"/>
        </w:tabs>
        <w:ind w:left="0" w:firstLine="0"/>
      </w:pPr>
      <w:rPr>
        <w:rFonts w:hint="eastAsia"/>
      </w:rPr>
    </w:lvl>
  </w:abstractNum>
  <w:abstractNum w:abstractNumId="32">
    <w:nsid w:val="7D4737B6"/>
    <w:multiLevelType w:val="singleLevel"/>
    <w:tmpl w:val="7D4737B6"/>
    <w:lvl w:ilvl="0" w:tentative="0">
      <w:start w:val="3"/>
      <w:numFmt w:val="chineseCountingThousand"/>
      <w:suff w:val="nothing"/>
      <w:lvlText w:val="%1、"/>
      <w:lvlJc w:val="left"/>
      <w:pPr>
        <w:tabs>
          <w:tab w:val="left" w:pos="420"/>
        </w:tabs>
        <w:ind w:left="0" w:firstLine="0"/>
      </w:pPr>
      <w:rPr>
        <w:rFonts w:hint="eastAsia"/>
      </w:rPr>
    </w:lvl>
  </w:abstractNum>
  <w:abstractNum w:abstractNumId="33">
    <w:nsid w:val="7ECAE2F3"/>
    <w:multiLevelType w:val="singleLevel"/>
    <w:tmpl w:val="7ECAE2F3"/>
    <w:lvl w:ilvl="0" w:tentative="0">
      <w:start w:val="4"/>
      <w:numFmt w:val="chineseCountingThousand"/>
      <w:suff w:val="nothing"/>
      <w:lvlText w:val="%1、"/>
      <w:lvlJc w:val="left"/>
      <w:pPr>
        <w:tabs>
          <w:tab w:val="left" w:pos="420"/>
        </w:tabs>
        <w:ind w:left="0" w:firstLine="0"/>
      </w:pPr>
      <w:rPr>
        <w:rFonts w:hint="eastAsia"/>
      </w:rPr>
    </w:lvl>
  </w:abstractNum>
  <w:num w:numId="1">
    <w:abstractNumId w:val="18"/>
  </w:num>
  <w:num w:numId="2">
    <w:abstractNumId w:val="11"/>
  </w:num>
  <w:num w:numId="3">
    <w:abstractNumId w:val="2"/>
  </w:num>
  <w:num w:numId="4">
    <w:abstractNumId w:val="12"/>
  </w:num>
  <w:num w:numId="5">
    <w:abstractNumId w:val="0"/>
  </w:num>
  <w:num w:numId="6">
    <w:abstractNumId w:val="5"/>
  </w:num>
  <w:num w:numId="7">
    <w:abstractNumId w:val="14"/>
  </w:num>
  <w:num w:numId="8">
    <w:abstractNumId w:val="24"/>
  </w:num>
  <w:num w:numId="9">
    <w:abstractNumId w:val="8"/>
  </w:num>
  <w:num w:numId="10">
    <w:abstractNumId w:val="29"/>
  </w:num>
  <w:num w:numId="11">
    <w:abstractNumId w:val="7"/>
  </w:num>
  <w:num w:numId="12">
    <w:abstractNumId w:val="20"/>
  </w:num>
  <w:num w:numId="13">
    <w:abstractNumId w:val="15"/>
  </w:num>
  <w:num w:numId="14">
    <w:abstractNumId w:val="26"/>
  </w:num>
  <w:num w:numId="15">
    <w:abstractNumId w:val="31"/>
  </w:num>
  <w:num w:numId="16">
    <w:abstractNumId w:val="17"/>
  </w:num>
  <w:num w:numId="17">
    <w:abstractNumId w:val="6"/>
  </w:num>
  <w:num w:numId="18">
    <w:abstractNumId w:val="28"/>
  </w:num>
  <w:num w:numId="19">
    <w:abstractNumId w:val="9"/>
  </w:num>
  <w:num w:numId="20">
    <w:abstractNumId w:val="19"/>
  </w:num>
  <w:num w:numId="21">
    <w:abstractNumId w:val="32"/>
  </w:num>
  <w:num w:numId="22">
    <w:abstractNumId w:val="27"/>
  </w:num>
  <w:num w:numId="23">
    <w:abstractNumId w:val="25"/>
  </w:num>
  <w:num w:numId="24">
    <w:abstractNumId w:val="21"/>
  </w:num>
  <w:num w:numId="25">
    <w:abstractNumId w:val="33"/>
  </w:num>
  <w:num w:numId="26">
    <w:abstractNumId w:val="30"/>
  </w:num>
  <w:num w:numId="27">
    <w:abstractNumId w:val="10"/>
  </w:num>
  <w:num w:numId="28">
    <w:abstractNumId w:val="13"/>
  </w:num>
  <w:num w:numId="29">
    <w:abstractNumId w:val="23"/>
  </w:num>
  <w:num w:numId="30">
    <w:abstractNumId w:val="3"/>
  </w:num>
  <w:num w:numId="31">
    <w:abstractNumId w:val="16"/>
  </w:num>
  <w:num w:numId="32">
    <w:abstractNumId w:val="1"/>
  </w:num>
  <w:num w:numId="33">
    <w:abstractNumId w:val="2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0702F"/>
    <w:rsid w:val="37AF5D50"/>
    <w:rsid w:val="4F50702F"/>
    <w:rsid w:val="52F3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00" w:lineRule="auto"/>
      <w:outlineLvl w:val="0"/>
    </w:pPr>
    <w:rPr>
      <w:b/>
      <w:bCs/>
      <w:kern w:val="44"/>
      <w:sz w:val="32"/>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2">
    <w:name w:val="heading 5"/>
    <w:basedOn w:val="1"/>
    <w:next w:val="1"/>
    <w:qFormat/>
    <w:uiPriority w:val="0"/>
    <w:pPr>
      <w:keepNext/>
      <w:outlineLvl w:val="4"/>
    </w:pPr>
    <w:rPr>
      <w:b/>
      <w:bCs/>
      <w:sz w:val="28"/>
      <w:szCs w:val="28"/>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Body Text"/>
    <w:basedOn w:val="1"/>
    <w:next w:val="1"/>
    <w:qFormat/>
    <w:uiPriority w:val="0"/>
    <w:pPr>
      <w:tabs>
        <w:tab w:val="left" w:pos="1080"/>
      </w:tabs>
      <w:adjustRightInd w:val="0"/>
      <w:snapToGrid w:val="0"/>
      <w:spacing w:line="360" w:lineRule="auto"/>
    </w:pPr>
    <w:rPr>
      <w:color w:val="000000"/>
      <w:sz w:val="24"/>
    </w:rPr>
  </w:style>
  <w:style w:type="paragraph" w:styleId="6">
    <w:name w:val="Body Text Indent"/>
    <w:basedOn w:val="1"/>
    <w:next w:val="7"/>
    <w:qFormat/>
    <w:uiPriority w:val="0"/>
    <w:pPr>
      <w:tabs>
        <w:tab w:val="left" w:pos="840"/>
      </w:tabs>
      <w:spacing w:line="312" w:lineRule="auto"/>
      <w:ind w:left="854" w:hanging="378"/>
    </w:pPr>
    <w:rPr>
      <w:rFonts w:ascii="宋体"/>
      <w:sz w:val="24"/>
    </w:rPr>
  </w:style>
  <w:style w:type="paragraph" w:styleId="7">
    <w:name w:val="Body Text First Indent 2"/>
    <w:basedOn w:val="6"/>
    <w:qFormat/>
    <w:uiPriority w:val="0"/>
    <w:pPr>
      <w:spacing w:line="520" w:lineRule="exact"/>
      <w:ind w:left="0" w:firstLine="210"/>
      <w:textAlignment w:val="baseline"/>
    </w:pPr>
    <w:rPr>
      <w:rFonts w:ascii="黑体" w:hAnsi="Arial" w:eastAsia="黑体" w:cs="Arial"/>
      <w:snapToGrid w:val="0"/>
      <w:spacing w:val="-8"/>
      <w:sz w:val="21"/>
    </w:rPr>
  </w:style>
  <w:style w:type="paragraph" w:styleId="8">
    <w:name w:val="Plain Text"/>
    <w:basedOn w:val="1"/>
    <w:qFormat/>
    <w:uiPriority w:val="0"/>
    <w:pPr>
      <w:adjustRightInd w:val="0"/>
      <w:textAlignment w:val="baseline"/>
    </w:pPr>
    <w:rPr>
      <w:rFonts w:ascii="宋体" w:hAnsi="宋体"/>
      <w:bCs/>
      <w:color w:val="003300"/>
      <w:spacing w:val="50"/>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bCs/>
      <w:kern w:val="0"/>
      <w:szCs w:val="20"/>
    </w:rPr>
  </w:style>
  <w:style w:type="paragraph" w:styleId="11">
    <w:name w:val="toc 1"/>
    <w:basedOn w:val="1"/>
    <w:next w:val="1"/>
    <w:qFormat/>
    <w:uiPriority w:val="39"/>
    <w:pPr>
      <w:spacing w:before="120" w:after="120"/>
      <w:jc w:val="left"/>
    </w:pPr>
    <w:rPr>
      <w:b/>
      <w:bCs/>
      <w:caps/>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1"/>
    <w:basedOn w:val="1"/>
    <w:next w:val="8"/>
    <w:qFormat/>
    <w:uiPriority w:val="0"/>
    <w:pPr>
      <w:suppressAutoHyphens/>
    </w:pPr>
    <w:rPr>
      <w:rFonts w:ascii="宋体" w:hAnsi="Courier New"/>
      <w:kern w:val="1"/>
      <w:szCs w:val="21"/>
    </w:rPr>
  </w:style>
  <w:style w:type="character" w:customStyle="1" w:styleId="18">
    <w:name w:val="font01"/>
    <w:basedOn w:val="14"/>
    <w:qFormat/>
    <w:uiPriority w:val="0"/>
    <w:rPr>
      <w:rFonts w:hint="eastAsia" w:ascii="仿宋" w:hAnsi="仿宋" w:eastAsia="仿宋" w:cs="仿宋"/>
      <w:color w:val="FF0000"/>
      <w:sz w:val="18"/>
      <w:szCs w:val="18"/>
      <w:u w:val="none"/>
    </w:rPr>
  </w:style>
  <w:style w:type="paragraph" w:customStyle="1" w:styleId="19">
    <w:name w:val="p0"/>
    <w:basedOn w:val="1"/>
    <w:qFormat/>
    <w:uiPriority w:val="99"/>
    <w:pPr>
      <w:widowControl/>
    </w:pPr>
    <w:rPr>
      <w:rFonts w:ascii="Calibri" w:hAnsi="Calibri" w:cs="Calibri"/>
      <w:kern w:val="0"/>
      <w:szCs w:val="21"/>
    </w:rPr>
  </w:style>
  <w:style w:type="paragraph" w:styleId="20">
    <w:name w:val="List Paragraph"/>
    <w:basedOn w:val="1"/>
    <w:qFormat/>
    <w:uiPriority w:val="0"/>
    <w:pPr>
      <w:ind w:firstLine="420" w:firstLineChars="200"/>
    </w:pPr>
    <w:rPr>
      <w:rFonts w:ascii="Calibri" w:hAnsi="Calibri" w:eastAsia="仿宋_GB2312"/>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13011</Words>
  <Characters>13341</Characters>
  <Lines>0</Lines>
  <Paragraphs>0</Paragraphs>
  <TotalTime>53</TotalTime>
  <ScaleCrop>false</ScaleCrop>
  <LinksUpToDate>false</LinksUpToDate>
  <CharactersWithSpaces>14062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2022-08-19T08:12:00Z</dcterms:created>
  <dc:creator>wangy</dc:creator>
  <cp:lastModifiedBy>wangy</cp:lastModifiedBy>
  <dcterms:modified xsi:type="dcterms:W3CDTF">2022-08-19T10:39:44Z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46767399A154448A976A7B775682C9F5</vt:lpwstr>
  </property>
</Properties>
</file>